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line="230"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line="217"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60"/>
        <w:spacing w:after="0" w:line="231" w:lineRule="auto"/>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 w:lineRule="exact"/>
        <w:rPr>
          <w:rFonts w:ascii="MS PGothic" w:cs="MS PGothic" w:eastAsia="MS PGothic" w:hAnsi="MS PGothic"/>
          <w:sz w:val="18"/>
          <w:szCs w:val="18"/>
          <w:color w:val="auto"/>
        </w:rPr>
      </w:pPr>
    </w:p>
    <w:p>
      <w:pPr>
        <w:ind w:left="300" w:hanging="279"/>
        <w:spacing w:after="0" w:line="219" w:lineRule="auto"/>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ind w:left="20"/>
        <w:spacing w:after="0" w:line="18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00" w:hanging="279"/>
        <w:spacing w:after="0" w:line="219" w:lineRule="auto"/>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5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66" w:lineRule="exact"/>
        <w:rPr>
          <w:sz w:val="24"/>
          <w:szCs w:val="24"/>
          <w:color w:val="auto"/>
        </w:rPr>
      </w:pPr>
    </w:p>
    <w:p>
      <w:pPr>
        <w:ind w:left="240" w:hanging="219"/>
        <w:spacing w:after="0"/>
        <w:tabs>
          <w:tab w:leader="none" w:pos="2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ind w:left="240" w:hanging="219"/>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 w:lineRule="exact"/>
        <w:rPr>
          <w:rFonts w:ascii="MS PGothic" w:cs="MS PGothic" w:eastAsia="MS PGothic" w:hAnsi="MS PGothic"/>
          <w:sz w:val="18"/>
          <w:szCs w:val="18"/>
          <w:color w:val="auto"/>
        </w:rPr>
      </w:pPr>
    </w:p>
    <w:p>
      <w:pPr>
        <w:ind w:left="240" w:hanging="219"/>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2839720</wp:posOffset>
            </wp:positionH>
            <wp:positionV relativeFrom="page">
              <wp:posOffset>234950</wp:posOffset>
            </wp:positionV>
            <wp:extent cx="186880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NOTICE OF ANNUAL MEETING OF STOCKHOLDERS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23, 2026</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2026 annual meeting of stockholders (“Annual Meeting”) of AquaBounty Technologies, Inc. (“we,” “us,” “AquaBounty” or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held on June 23, 2026, at 11:00 a.m., Eastern Time, at 233 Ayer Road, Suite 4, Harvard, MA 01451, for the following purposes:</w:t>
      </w:r>
    </w:p>
    <w:p>
      <w:pPr>
        <w:spacing w:after="0" w:line="165" w:lineRule="exact"/>
        <w:rPr>
          <w:sz w:val="20"/>
          <w:szCs w:val="20"/>
          <w:color w:val="auto"/>
        </w:rPr>
      </w:pPr>
    </w:p>
    <w:p>
      <w:pPr>
        <w:ind w:left="520" w:right="140"/>
        <w:spacing w:after="0" w:line="242" w:lineRule="auto"/>
        <w:rPr>
          <w:sz w:val="20"/>
          <w:szCs w:val="20"/>
          <w:color w:val="auto"/>
        </w:rPr>
      </w:pPr>
      <w:r>
        <w:rPr>
          <w:rFonts w:ascii="Times New Roman" w:cs="Times New Roman" w:eastAsia="Times New Roman" w:hAnsi="Times New Roman"/>
          <w:sz w:val="18"/>
          <w:szCs w:val="18"/>
          <w:color w:val="auto"/>
        </w:rPr>
        <w:t>to elect four directors to serve on our Board of Directors (our “Board”) for a one-year term of office until the next annual meeting of stockholders, with each director to hold office until his or her successor is duly elected and qualified or until his or her earlier resignation or removal (“Proposal 1”);</w:t>
      </w:r>
    </w:p>
    <w:p>
      <w:pPr>
        <w:spacing w:after="0" w:line="62" w:lineRule="exact"/>
        <w:rPr>
          <w:sz w:val="20"/>
          <w:szCs w:val="20"/>
          <w:color w:val="auto"/>
        </w:rPr>
      </w:pPr>
    </w:p>
    <w:p>
      <w:pPr>
        <w:ind w:left="520" w:right="200"/>
        <w:spacing w:after="0" w:line="250" w:lineRule="auto"/>
        <w:rPr>
          <w:sz w:val="20"/>
          <w:szCs w:val="20"/>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 (“Proposal 2”);</w:t>
      </w:r>
    </w:p>
    <w:p>
      <w:pPr>
        <w:spacing w:after="0" w:line="68" w:lineRule="exact"/>
        <w:rPr>
          <w:sz w:val="20"/>
          <w:szCs w:val="20"/>
          <w:color w:val="auto"/>
        </w:rPr>
      </w:pPr>
    </w:p>
    <w:p>
      <w:pPr>
        <w:ind w:left="520" w:right="580"/>
        <w:spacing w:after="0" w:line="250" w:lineRule="auto"/>
        <w:rPr>
          <w:sz w:val="20"/>
          <w:szCs w:val="20"/>
          <w:color w:val="auto"/>
        </w:rPr>
      </w:pPr>
      <w:r>
        <w:rPr>
          <w:rFonts w:ascii="Times New Roman" w:cs="Times New Roman" w:eastAsia="Times New Roman" w:hAnsi="Times New Roman"/>
          <w:sz w:val="18"/>
          <w:szCs w:val="18"/>
          <w:color w:val="auto"/>
        </w:rPr>
        <w:t>to approve an amendment to our Third Amended and Restated Certificate of Incorporation, as amended, to approve a reverse stock split (the “Reverse Stock Split”) of our common stock, par value $0.001 per share (“Common Stock”) (“Proposal 3”);</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paid to our named executive officers (Proposal 4”);</w:t>
      </w:r>
    </w:p>
    <w:p>
      <w:pPr>
        <w:spacing w:after="0" w:line="90" w:lineRule="exact"/>
        <w:rPr>
          <w:sz w:val="20"/>
          <w:szCs w:val="20"/>
          <w:color w:val="auto"/>
        </w:r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to approve an adjournment of the Annual Meeting, if necessary, to solicit additional proxies if there are not sufficient votes in favor of the Reverse Stock Split Proposal (“Proposal 5”); and</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85"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After careful consideration, our Board recommends a vote “FOR” the election of each of the director nominees listed in Proposal 1 and a vote “FOR” Proposals 2, 3, 4, and 5.</w:t>
      </w:r>
    </w:p>
    <w:p>
      <w:pPr>
        <w:spacing w:after="0" w:line="14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24, 2026, the record date, are entitled to notice of and to vote at the annual meeting or at any postponement(s) or adjournment(s) thereof.</w:t>
      </w:r>
    </w:p>
    <w:p>
      <w:pPr>
        <w:spacing w:after="0" w:line="149"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we hope you will vote as soon as possible. Please vote before the annual meeting using the Internet; telephone; or by signing, dating, and mailing the proxy card in the pre-paid envelope, to ensure that your vote will be counted. Please review the instructions on each of your voting options described in the accompanying proxy statement. Your proxy may be revoked before the vote at the annual meeting by following the procedures outlined in the accompanying proxy statement. The Proxy Statement is dated May 1, 2026 and is first being made available to stockholders on or about May 6, 2026.</w:t>
      </w:r>
    </w:p>
    <w:p>
      <w:pPr>
        <w:spacing w:after="0" w:line="17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David Frank</w:t>
      </w:r>
    </w:p>
    <w:p>
      <w:pPr>
        <w:spacing w:after="0" w:line="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Harvard, Massachusetts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This proxy statement contains “forward-looking statements” as defined in the Private Securities Litigation Reform Act of 1995, as amended, that involve significant risks and uncertainties about AquaBounty. All statements other than statements of historical fact are forward-looking statements, and AquaBounty may use words such as “expect,” “anticipate,” “project,” “intend,” “plan,” “aim,” “believe,” “seek,” “estimate,” “can,” “focus,” “will,” and “may,” similar expressions and the negative forms of such expressions to identify such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and uncertainties include, but are not limited to: our history of net losses and the likelihood of future net losses; our ability to continue as a going concern; our ability to raise additional funds, including from the sale of non-current assets, in sufficient amounts on a timely basis, on acceptable terms, or at all; our ability to obtain and maintain approvals and permits to construct and operate our Ohio Farm Project without delay; risks related to potential strategic acquisitions, investments or mergers; security breaches, cyber-attacks and other disruptions could compromise our information, or expose us to fraud or liability, or interrupt our operations; any further write-downs of the value of our assets; business, political, or economic disruptions or global health concerns; adverse developments affecting the financial services industry; our ability to use net operating losses and other tax attributes, which may be subject to certain limitations; volatility in the price of our shares of common stock; our ability to maintain our listing on the Nasdaq Stock Market LLC (“Nasdaq”); an active trading market for our common stock may not be sustained; our status as a “smaller reporting company” and a “non-accelerated filer” may cause our shares of common stock to be less attractive to investors; any issuance of preferred stock with terms that could dilute the voting power or reduce the value of our common stock; provisions in our corporate documents and Delaware law could have the effect of delaying, deferring, or preventing a change in control of us; our expectation of not paying cash dividends in the foreseeable future; The composition of our Board of Directors may change from time to time under our governing documents, including through the filling of vacancies, which may result in a change in the Company’s strategic plan; and other risks and uncertainties discussed in the Company’s filings with the Securities and Exchange Commission (“SEC”).</w:t>
      </w:r>
    </w:p>
    <w:p>
      <w:pPr>
        <w:spacing w:after="0" w:line="16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For additional disclosure regarding these and other risks faced by AquaBounty, see disclosures contained in AquaBounty’s public filings with the SEC, including the “Risk Factors” in the Company’s Annual Report on Form 10-K and Quarterly Reports on Form 10-Q. You should consider these factors in evaluating the forward-looking statements included in this proxy statement and not place undue reliance on such statements. The forward-looking statements are made as of the date hereof, and AquaBounty undertakes no obligation to update such statements as a result of new information, except as required by law.</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2550795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2839720</wp:posOffset>
            </wp:positionH>
            <wp:positionV relativeFrom="page">
              <wp:posOffset>363220</wp:posOffset>
            </wp:positionV>
            <wp:extent cx="18688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b w:val="1"/>
          <w:bCs w:val="1"/>
          <w:color w:val="auto"/>
        </w:rPr>
        <w:t>2026 PROXY STATEMENT</w:t>
      </w:r>
    </w:p>
    <w:p>
      <w:pPr>
        <w:spacing w:after="0" w:line="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0020" w:type="dxa"/>
            <w:vAlign w:val="bottom"/>
            <w:gridSpan w:val="17"/>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About the Annual Meeting</w:t>
            </w: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20" w:type="dxa"/>
            <w:vAlign w:val="bottom"/>
            <w:gridSpan w:val="17"/>
            <w:vMerge w:val="continue"/>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02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Matters To Be Considered At Annual Meeting</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4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20" w:type="dxa"/>
            <w:vAlign w:val="bottom"/>
            <w:tcBorders>
              <w:top w:val="single" w:sz="8" w:color="0000FF"/>
            </w:tcBorders>
            <w:gridSpan w:val="4"/>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7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Proposal 2 – Ratification of Independent Registered Public Accounting Firm</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Proposal 3 – Reverse Stock Split Proposal</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Proposal 4 – Non-Binding, Advisory Vote</w:t>
            </w:r>
          </w:p>
        </w:tc>
        <w:tc>
          <w:tcPr>
            <w:tcW w:w="6720" w:type="dxa"/>
            <w:vAlign w:val="bottom"/>
            <w:gridSpan w:val="6"/>
          </w:tcPr>
          <w:p>
            <w:pPr>
              <w:ind w:left="40"/>
              <w:spacing w:after="0" w:line="169" w:lineRule="exact"/>
              <w:rPr>
                <w:sz w:val="20"/>
                <w:szCs w:val="20"/>
                <w:color w:val="auto"/>
              </w:rPr>
            </w:pPr>
            <w:r>
              <w:rPr>
                <w:rFonts w:ascii="Times New Roman" w:cs="Times New Roman" w:eastAsia="Times New Roman" w:hAnsi="Times New Roman"/>
                <w:sz w:val="18"/>
                <w:szCs w:val="18"/>
                <w:color w:val="0000FF"/>
              </w:rPr>
              <w:t>to Approve the Compensation of our Named Executive Officers</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Proposal 5 – Adjournment Proposal</w:t>
            </w:r>
          </w:p>
        </w:tc>
        <w:tc>
          <w:tcPr>
            <w:tcW w:w="208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Other Matters</w:t>
            </w:r>
          </w:p>
        </w:tc>
        <w:tc>
          <w:tcPr>
            <w:tcW w:w="120" w:type="dxa"/>
            <w:vAlign w:val="bottom"/>
          </w:tcPr>
          <w:p>
            <w:pPr>
              <w:spacing w:after="0"/>
              <w:rPr>
                <w:sz w:val="14"/>
                <w:szCs w:val="14"/>
                <w:color w:val="auto"/>
              </w:rPr>
            </w:pPr>
          </w:p>
        </w:tc>
        <w:tc>
          <w:tcPr>
            <w:tcW w:w="1100" w:type="dxa"/>
            <w:vAlign w:val="bottom"/>
            <w:gridSpan w:val="3"/>
          </w:tcPr>
          <w:p>
            <w:pPr>
              <w:spacing w:after="0"/>
              <w:rPr>
                <w:sz w:val="14"/>
                <w:szCs w:val="14"/>
                <w:color w:val="auto"/>
              </w:rPr>
            </w:pPr>
          </w:p>
        </w:tc>
        <w:tc>
          <w:tcPr>
            <w:tcW w:w="3060" w:type="dxa"/>
            <w:vAlign w:val="bottom"/>
            <w:gridSpan w:val="2"/>
          </w:tcPr>
          <w:p>
            <w:pPr>
              <w:spacing w:after="0"/>
              <w:rPr>
                <w:sz w:val="14"/>
                <w:szCs w:val="14"/>
                <w:color w:val="auto"/>
              </w:rPr>
            </w:pPr>
          </w:p>
        </w:tc>
        <w:tc>
          <w:tcPr>
            <w:tcW w:w="2900" w:type="dxa"/>
            <w:vAlign w:val="bottom"/>
            <w:gridSpan w:val="2"/>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760" w:type="dxa"/>
            <w:vAlign w:val="bottom"/>
            <w:gridSpan w:val="14"/>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Securities</w:t>
            </w:r>
          </w:p>
        </w:tc>
        <w:tc>
          <w:tcPr>
            <w:tcW w:w="12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Ownership of</w:t>
            </w:r>
          </w:p>
        </w:tc>
        <w:tc>
          <w:tcPr>
            <w:tcW w:w="8760" w:type="dxa"/>
            <w:vAlign w:val="bottom"/>
            <w:gridSpan w:val="14"/>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FF"/>
              <w:bottom w:val="single" w:sz="8" w:color="0000FF"/>
            </w:tcBorders>
          </w:tcPr>
          <w:p>
            <w:pPr>
              <w:spacing w:after="0"/>
              <w:rPr>
                <w:sz w:val="14"/>
                <w:szCs w:val="14"/>
                <w:color w:val="auto"/>
              </w:rPr>
            </w:pPr>
          </w:p>
        </w:tc>
        <w:tc>
          <w:tcPr>
            <w:tcW w:w="184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Executive Compensation</w:t>
            </w:r>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gridSpan w:val="11"/>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0000FF"/>
              </w:rPr>
              <w:t>Policies, and Procedures</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86"/>
              </w:rPr>
              <w:t>Related-Party Transactions,</w:t>
            </w:r>
          </w:p>
        </w:tc>
        <w:tc>
          <w:tcPr>
            <w:tcW w:w="20" w:type="dxa"/>
            <w:vAlign w:val="bottom"/>
          </w:tcPr>
          <w:p>
            <w:pPr>
              <w:spacing w:after="0"/>
              <w:rPr>
                <w:sz w:val="14"/>
                <w:szCs w:val="14"/>
                <w:color w:val="auto"/>
              </w:rPr>
            </w:pPr>
          </w:p>
        </w:tc>
        <w:tc>
          <w:tcPr>
            <w:tcW w:w="8100" w:type="dxa"/>
            <w:vAlign w:val="bottom"/>
            <w:gridSpan w:val="11"/>
            <w:vMerge w:val="continue"/>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69"/>
        </w:trPr>
        <w:tc>
          <w:tcPr>
            <w:tcW w:w="20" w:type="dxa"/>
            <w:vAlign w:val="bottom"/>
            <w:tcBorders>
              <w:top w:val="single" w:sz="8" w:color="0000FF"/>
            </w:tcBorders>
          </w:tcPr>
          <w:p>
            <w:pPr>
              <w:spacing w:after="0"/>
              <w:rPr>
                <w:sz w:val="14"/>
                <w:szCs w:val="14"/>
                <w:color w:val="auto"/>
              </w:rPr>
            </w:pPr>
          </w:p>
        </w:tc>
        <w:tc>
          <w:tcPr>
            <w:tcW w:w="40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Audit Committee Report</w:t>
            </w:r>
          </w:p>
        </w:tc>
        <w:tc>
          <w:tcPr>
            <w:tcW w:w="3060" w:type="dxa"/>
            <w:vAlign w:val="bottom"/>
            <w:gridSpan w:val="2"/>
          </w:tcPr>
          <w:p>
            <w:pPr>
              <w:spacing w:after="0"/>
              <w:rPr>
                <w:sz w:val="14"/>
                <w:szCs w:val="14"/>
                <w:color w:val="auto"/>
              </w:rPr>
            </w:pPr>
          </w:p>
        </w:tc>
        <w:tc>
          <w:tcPr>
            <w:tcW w:w="2900" w:type="dxa"/>
            <w:vAlign w:val="bottom"/>
            <w:gridSpan w:val="2"/>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69"/>
        </w:trPr>
        <w:tc>
          <w:tcPr>
            <w:tcW w:w="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Annual Report; Available</w:t>
            </w:r>
          </w:p>
        </w:tc>
        <w:tc>
          <w:tcPr>
            <w:tcW w:w="8100" w:type="dxa"/>
            <w:vAlign w:val="bottom"/>
            <w:gridSpan w:val="11"/>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0000FF"/>
              </w:rPr>
              <w:t>Information</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2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02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 xml:space="preserve">Exhibit A – </w:t>
            </w:r>
            <w:r>
              <w:rPr>
                <w:rFonts w:ascii="Times New Roman" w:cs="Times New Roman" w:eastAsia="Times New Roman" w:hAnsi="Times New Roman"/>
                <w:sz w:val="18"/>
                <w:szCs w:val="18"/>
                <w:color w:val="0000FF"/>
              </w:rPr>
              <w:t>Amendment to Third Amended and Restated Certificate of Incorporation, as amended</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FF"/>
            </w:tcBorders>
          </w:tcPr>
          <w:p>
            <w:pPr>
              <w:spacing w:after="0"/>
              <w:rPr>
                <w:sz w:val="14"/>
                <w:szCs w:val="14"/>
                <w:color w:val="auto"/>
              </w:rPr>
            </w:pPr>
          </w:p>
        </w:tc>
        <w:tc>
          <w:tcPr>
            <w:tcW w:w="71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Proxy Cards</w:t>
            </w:r>
          </w:p>
        </w:tc>
        <w:tc>
          <w:tcPr>
            <w:tcW w:w="2900" w:type="dxa"/>
            <w:vAlign w:val="bottom"/>
            <w:gridSpan w:val="2"/>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161"/>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2839720</wp:posOffset>
            </wp:positionH>
            <wp:positionV relativeFrom="page">
              <wp:posOffset>234950</wp:posOffset>
            </wp:positionV>
            <wp:extent cx="18688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233 Ayer Road, Suite 4</w:t>
      </w:r>
    </w:p>
    <w:p>
      <w:pPr>
        <w:jc w:val="center"/>
        <w:ind w:right="20"/>
        <w:spacing w:after="0" w:line="226" w:lineRule="auto"/>
        <w:rPr>
          <w:sz w:val="20"/>
          <w:szCs w:val="20"/>
          <w:color w:val="auto"/>
        </w:rPr>
      </w:pPr>
      <w:r>
        <w:rPr>
          <w:rFonts w:ascii="Times New Roman" w:cs="Times New Roman" w:eastAsia="Times New Roman" w:hAnsi="Times New Roman"/>
          <w:sz w:val="18"/>
          <w:szCs w:val="18"/>
          <w:b w:val="1"/>
          <w:bCs w:val="1"/>
          <w:color w:val="auto"/>
        </w:rPr>
        <w:t>Harvard, Massachusetts 01451</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PROXY STATEMENT</w:t>
      </w:r>
    </w:p>
    <w:p>
      <w:pPr>
        <w:jc w:val="center"/>
        <w:ind w:right="20"/>
        <w:spacing w:after="0" w:line="220" w:lineRule="auto"/>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8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color w:val="auto"/>
        </w:rPr>
        <w:t>This proxy statement and the accompanying form of proxy are being made available to the stockholders of AquaBounty Technologies, Inc. (“we,” “us,” “AquaBounty” or the “Company”) in connection with the solicitation of proxies by our Board of Directors (“Board”) for use at our annual meeting of stockholders (“Annual Meeting”) to be held on June 23, 2026, at 11:00 a.m., Eastern Time, at 233 Ayer Road, Suite 4, Harvard, MA 01451, and any adjournments, continuations or postponements thereof. The meeting will be held for the following purposes:</w:t>
      </w:r>
    </w:p>
    <w:p>
      <w:pPr>
        <w:spacing w:after="0" w:line="158" w:lineRule="exact"/>
        <w:rPr>
          <w:sz w:val="20"/>
          <w:szCs w:val="20"/>
          <w:color w:val="auto"/>
        </w:rPr>
      </w:pPr>
    </w:p>
    <w:p>
      <w:pPr>
        <w:ind w:left="520" w:right="220"/>
        <w:spacing w:after="0" w:line="250" w:lineRule="auto"/>
        <w:rPr>
          <w:sz w:val="20"/>
          <w:szCs w:val="20"/>
          <w:color w:val="auto"/>
        </w:rPr>
      </w:pPr>
      <w:r>
        <w:rPr>
          <w:rFonts w:ascii="Times New Roman" w:cs="Times New Roman" w:eastAsia="Times New Roman" w:hAnsi="Times New Roman"/>
          <w:sz w:val="18"/>
          <w:szCs w:val="18"/>
          <w:color w:val="auto"/>
        </w:rPr>
        <w:t>to elect four directors to serve on our Board for a one-year term of office until the next annual meeting of stockholders, with each director to hold office until his or her successor is duly elected and qualified or until his or her earlier resignation or removal (“Proposal 1”);</w:t>
      </w:r>
    </w:p>
    <w:p>
      <w:pPr>
        <w:spacing w:after="0" w:line="54"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to ratify the appointment of Deloitte &amp; Touche LLP (“Deloitte”) as our independent registered public accounting firm for the fiscal year ending December 31, 2026 (“Proposal 2”);</w:t>
      </w:r>
    </w:p>
    <w:p>
      <w:pPr>
        <w:spacing w:after="0" w:line="40" w:lineRule="exact"/>
        <w:rPr>
          <w:sz w:val="20"/>
          <w:szCs w:val="20"/>
          <w:color w:val="auto"/>
        </w:rPr>
      </w:pPr>
    </w:p>
    <w:p>
      <w:pPr>
        <w:ind w:left="520" w:right="600"/>
        <w:spacing w:after="0" w:line="250" w:lineRule="auto"/>
        <w:rPr>
          <w:sz w:val="20"/>
          <w:szCs w:val="20"/>
          <w:color w:val="auto"/>
        </w:rPr>
      </w:pPr>
      <w:r>
        <w:rPr>
          <w:rFonts w:ascii="Times New Roman" w:cs="Times New Roman" w:eastAsia="Times New Roman" w:hAnsi="Times New Roman"/>
          <w:sz w:val="18"/>
          <w:szCs w:val="18"/>
          <w:color w:val="auto"/>
        </w:rPr>
        <w:t>to approve an amendment to our Third Amended and Restated Certificate of Incorporation, as amended, to approve a reverse stock split (the “Reverse Stock Split”) of our common stock, par value $0.001 per share (“Common Stock”) (“Proposal 3”);</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paid to our named executive officers (“Proposal 4”);</w:t>
      </w:r>
    </w:p>
    <w:p>
      <w:pPr>
        <w:spacing w:after="0" w:line="90"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to approve an adjournment of the Annual Meeting, if necessary, to solicit additional proxies if there are not sufficient votes in favor of the Reverse Stock Split Proposal (“Proposal 5”); and</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8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After careful consideration, our Board recommends a vote “FOR” the election of each of the director nominees listed in Proposal 1 and a vote “FOR” Proposals 2, 3, 4, and 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obtain proxy-related materials and/or what should I do if I received more than one copy of the Notice and proxy materials?</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 xml:space="preserve">A copy of our proxy materials is available, free of charge, on </w:t>
      </w:r>
      <w:r>
        <w:rPr>
          <w:rFonts w:ascii="Times New Roman" w:cs="Times New Roman" w:eastAsia="Times New Roman" w:hAnsi="Times New Roman"/>
          <w:sz w:val="18"/>
          <w:szCs w:val="18"/>
          <w:u w:val="single" w:color="auto"/>
          <w:color w:val="auto"/>
        </w:rPr>
        <w:t>www.envisionreports.com/AQB</w:t>
      </w:r>
      <w:r>
        <w:rPr>
          <w:rFonts w:ascii="Times New Roman" w:cs="Times New Roman" w:eastAsia="Times New Roman" w:hAnsi="Times New Roman"/>
          <w:sz w:val="18"/>
          <w:szCs w:val="18"/>
          <w:color w:val="auto"/>
        </w:rPr>
        <w:t xml:space="preserve">, the SEC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our corporate website at </w:t>
      </w:r>
      <w:r>
        <w:rPr>
          <w:rFonts w:ascii="Times New Roman" w:cs="Times New Roman" w:eastAsia="Times New Roman" w:hAnsi="Times New Roman"/>
          <w:sz w:val="18"/>
          <w:szCs w:val="18"/>
          <w:u w:val="single" w:color="auto"/>
          <w:color w:val="auto"/>
        </w:rPr>
        <w:t>www.aquabounty.com</w:t>
      </w:r>
      <w:r>
        <w:rPr>
          <w:rFonts w:ascii="Times New Roman" w:cs="Times New Roman" w:eastAsia="Times New Roman" w:hAnsi="Times New Roman"/>
          <w:sz w:val="18"/>
          <w:szCs w:val="18"/>
          <w:color w:val="auto"/>
        </w:rPr>
        <w:t>. By referring to our website, we do not incorporate our website or any portion of that website by reference into this proxy statement. We have elected to provide access to our proxy materials over the Internet. Accordingly, on or about May 6, 2026, we expect to send a Notice of Internet Availability of Proxy Materials (the “Notice”) to all stockholders of record as of the record date entitled to vote at our annual meeting. The Notice will provide instructions on how to access our proxy statement and annual report, along with how to vote via the Internet or by telephone. Instructions on how to request a printed copy of the proxy materials will also be provided in the Notice. We encourage stockholders to take advantage of the availability of the proxy materials on the Internet to help minimize our costs associated with printing and distributing our proxy materials and lessen the environmental impact of our annual meeting of stockholders.</w:t>
      </w:r>
    </w:p>
    <w:p>
      <w:pPr>
        <w:spacing w:after="0" w:line="16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If your shares are held in more than one account at a brokerage firm, bank, broker-dealer, or other similar organization (a “broker or other nominee”), you may receive more than one copy of the proxy materials. Please follow the voting instructions on the proxy cards or voting instruction forms, as applicable, and vote all proxy cards or voting instruction forms, as applicable, to ensure that all of your shares are voted. We encourage you to have all accounts registered in the same name and address whenever possible. If you are a registered holder, you can accomplish this by contacting our transfer agent, Computershare, at (800) 736-3001 or in writing to Computershare Investor Services, PO. Box 43078, Providence, Rhode Island 02940-3078. If your shares are held in an account at a broker or other nominee, you can accomplish this by contacting that organization.</w:t>
      </w:r>
    </w:p>
    <w:p>
      <w:pPr>
        <w:spacing w:after="0" w:line="1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Why did multiple stockholders at my address receive only one copy of the Notice and proxy materials?</w:t>
      </w:r>
    </w:p>
    <w:p>
      <w:pPr>
        <w:spacing w:after="0" w:line="189"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Some brokers or other nominees may be participating in the practice of “householding” proxy statements and annual reports. This means that only one copy of the Notice or set of proxy materials is being delivered to multiple stockholders sharing an address unless we have received contrary instructions. We will promptly deliver a separate copy of any of these documents to you if you write to us at 233 Ayer Road, Suite 4, Harvard, MA 01451, Attention: Corporate Secretary or call us at (978) 648-6000. If you want to receive separate copies of the Notice or proxy materials in the future, or if you are receiving multiple copies and would like to receive only one copy for your household, you should contact your broker or other nominee, or you may contact us at the above address or telephone number.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to hold the annual meeting?</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We have Common Stock and Convertible Series A preferred stock, par value $0.01 per share (“Preferred Stock”) classes of securities issued and outstanding, with each holder of our Common Stock entitled to one vote for each share of the Common Stock standing in the name of such stockholder and each holder of our Preferred Stock entitled to the Common Stock equivalent of twenty votes for each share of the Preferred Stock standing in the name of such stockholder on the books of the Company on the record date for the annual meeting. Together, our Common Stock and our Preferred Stock comprise our outstanding capital stock (“Capital Stock”). Stockholders of record at the close of business on April 24, 2026, the record date for the annual meeting, are entitled to notice of and to vote at the annual meeting. The holders of a majority of the Capital Stock issued and outstanding and entitled to vote at the meeting as of the record date, present in person or represented by proxy, will constitute a quorum at the annual meeting. On April 24, 2026, the record date for the annual meeting, there were 5,147,204 shares of Common Stock and 263,753 shares of Preferred Stock issued and outstanding.</w:t>
      </w:r>
    </w:p>
    <w:p>
      <w:pPr>
        <w:spacing w:after="0" w:line="16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For purposes of determining the presence or absence of a quorum, abstentions and broker non-votes will be counted as present. If a quorum is not present, or represented at the annual meeting, the stockholders entitled to vote at the annual meeting, present in person or represented by proxy, will have the power to adjourn the meeting from time to time until a quorum is present or represented.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of the proposals?</w:t>
      </w:r>
    </w:p>
    <w:p>
      <w:pPr>
        <w:spacing w:after="0" w:line="17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 summary of our annual meeting proposals and applicable vote standards is set forth below. Proposal 1 requires a plurality vote. Proposals 2, 4 and 5 require the affirmative vote of the holders of a majority of the shares of Capital Stock present in person or represented by proxy at the meeting and entitled to vote on the proposal and which has actually been voted. Proposal 3 requires the affirmative vote of the holders of a majority of the outstanding shares of Capital Stock entitled to vote thereon, voting together as a single class.</w:t>
      </w: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00" w:type="dxa"/>
            <w:vAlign w:val="bottom"/>
          </w:tcPr>
          <w:p>
            <w:pPr>
              <w:ind w:left="380"/>
              <w:spacing w:after="0" w:line="159" w:lineRule="exact"/>
              <w:rPr>
                <w:sz w:val="20"/>
                <w:szCs w:val="20"/>
                <w:color w:val="auto"/>
              </w:rPr>
            </w:pPr>
            <w:r>
              <w:rPr>
                <w:rFonts w:ascii="Times New Roman" w:cs="Times New Roman" w:eastAsia="Times New Roman" w:hAnsi="Times New Roman"/>
                <w:sz w:val="16"/>
                <w:szCs w:val="16"/>
                <w:color w:val="auto"/>
              </w:rPr>
              <w:t>Effect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Broker Non-Votes</w:t>
            </w:r>
          </w:p>
        </w:tc>
        <w:tc>
          <w:tcPr>
            <w:tcW w:w="0" w:type="dxa"/>
            <w:vAlign w:val="bottom"/>
          </w:tcPr>
          <w:p>
            <w:pPr>
              <w:spacing w:after="0"/>
              <w:rPr>
                <w:sz w:val="1"/>
                <w:szCs w:val="1"/>
                <w:color w:val="auto"/>
              </w:rPr>
            </w:pPr>
          </w:p>
        </w:tc>
      </w:tr>
      <w:tr>
        <w:trPr>
          <w:trHeight w:val="81"/>
        </w:trPr>
        <w:tc>
          <w:tcPr>
            <w:tcW w:w="2100" w:type="dxa"/>
            <w:vAlign w:val="bottom"/>
            <w:vMerge w:val="restart"/>
          </w:tcPr>
          <w:p>
            <w:pPr>
              <w:ind w:left="780"/>
              <w:spacing w:after="0" w:line="175" w:lineRule="exact"/>
              <w:rPr>
                <w:sz w:val="20"/>
                <w:szCs w:val="20"/>
                <w:color w:val="auto"/>
              </w:rPr>
            </w:pPr>
            <w:r>
              <w:rPr>
                <w:rFonts w:ascii="Times New Roman" w:cs="Times New Roman" w:eastAsia="Times New Roman" w:hAnsi="Times New Roman"/>
                <w:sz w:val="16"/>
                <w:szCs w:val="16"/>
                <w:color w:val="auto"/>
              </w:rPr>
              <w:t>Proposal</w:t>
            </w:r>
          </w:p>
        </w:tc>
        <w:tc>
          <w:tcPr>
            <w:tcW w:w="1460" w:type="dxa"/>
            <w:vAlign w:val="bottom"/>
            <w:vMerge w:val="restart"/>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7"/>
              </w:rPr>
              <w:t>Vote Options</w:t>
            </w:r>
          </w:p>
        </w:tc>
        <w:tc>
          <w:tcPr>
            <w:tcW w:w="3520" w:type="dxa"/>
            <w:vAlign w:val="bottom"/>
            <w:vMerge w:val="restart"/>
          </w:tcPr>
          <w:p>
            <w:pPr>
              <w:ind w:left="1300"/>
              <w:spacing w:after="0" w:line="175" w:lineRule="exact"/>
              <w:rPr>
                <w:sz w:val="20"/>
                <w:szCs w:val="20"/>
                <w:color w:val="auto"/>
              </w:rPr>
            </w:pPr>
            <w:r>
              <w:rPr>
                <w:rFonts w:ascii="Times New Roman" w:cs="Times New Roman" w:eastAsia="Times New Roman" w:hAnsi="Times New Roman"/>
                <w:sz w:val="16"/>
                <w:szCs w:val="16"/>
                <w:color w:val="auto"/>
              </w:rPr>
              <w:t>Vote Required</w:t>
            </w:r>
          </w:p>
        </w:tc>
        <w:tc>
          <w:tcPr>
            <w:tcW w:w="1500" w:type="dxa"/>
            <w:vAlign w:val="bottom"/>
            <w:vMerge w:val="restart"/>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w w:val="98"/>
              </w:rPr>
              <w:t>Withhold Votes</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(if any)</w:t>
            </w:r>
          </w:p>
        </w:tc>
        <w:tc>
          <w:tcPr>
            <w:tcW w:w="0" w:type="dxa"/>
            <w:vAlign w:val="bottom"/>
          </w:tcPr>
          <w:p>
            <w:pPr>
              <w:spacing w:after="0"/>
              <w:rPr>
                <w:sz w:val="1"/>
                <w:szCs w:val="1"/>
                <w:color w:val="auto"/>
              </w:rPr>
            </w:pPr>
          </w:p>
        </w:tc>
      </w:tr>
      <w:tr>
        <w:trPr>
          <w:trHeight w:val="116"/>
        </w:trPr>
        <w:tc>
          <w:tcPr>
            <w:tcW w:w="2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or Abstentions</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00" w:type="dxa"/>
            <w:vAlign w:val="bottom"/>
            <w:tcBorders>
              <w:bottom w:val="single" w:sz="8" w:color="5E5E61"/>
            </w:tcBorders>
          </w:tcPr>
          <w:p>
            <w:pPr>
              <w:spacing w:after="0"/>
              <w:rPr>
                <w:sz w:val="8"/>
                <w:szCs w:val="8"/>
                <w:color w:val="auto"/>
              </w:rPr>
            </w:pPr>
          </w:p>
        </w:tc>
        <w:tc>
          <w:tcPr>
            <w:tcW w:w="1460" w:type="dxa"/>
            <w:vAlign w:val="bottom"/>
            <w:tcBorders>
              <w:bottom w:val="single" w:sz="8" w:color="5E5E61"/>
            </w:tcBorders>
          </w:tcPr>
          <w:p>
            <w:pPr>
              <w:spacing w:after="0"/>
              <w:rPr>
                <w:sz w:val="8"/>
                <w:szCs w:val="8"/>
                <w:color w:val="auto"/>
              </w:rPr>
            </w:pPr>
          </w:p>
        </w:tc>
        <w:tc>
          <w:tcPr>
            <w:tcW w:w="3520" w:type="dxa"/>
            <w:vAlign w:val="bottom"/>
            <w:tcBorders>
              <w:bottom w:val="single" w:sz="8" w:color="5E5E61"/>
            </w:tcBorders>
          </w:tcPr>
          <w:p>
            <w:pPr>
              <w:spacing w:after="0"/>
              <w:rPr>
                <w:sz w:val="8"/>
                <w:szCs w:val="8"/>
                <w:color w:val="auto"/>
              </w:rPr>
            </w:pPr>
          </w:p>
        </w:tc>
        <w:tc>
          <w:tcPr>
            <w:tcW w:w="1500" w:type="dxa"/>
            <w:vAlign w:val="bottom"/>
            <w:tcBorders>
              <w:bottom w:val="single" w:sz="8" w:color="5E5E61"/>
            </w:tcBorders>
            <w:vMerge w:val="continue"/>
          </w:tcPr>
          <w:p>
            <w:pPr>
              <w:spacing w:after="0"/>
              <w:rPr>
                <w:sz w:val="8"/>
                <w:szCs w:val="8"/>
                <w:color w:val="auto"/>
              </w:rPr>
            </w:pPr>
          </w:p>
        </w:tc>
        <w:tc>
          <w:tcPr>
            <w:tcW w:w="1360" w:type="dxa"/>
            <w:vAlign w:val="bottom"/>
            <w:tcBorders>
              <w:bottom w:val="single" w:sz="8" w:color="5E5E61"/>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EEEEEF"/>
          </w:tcPr>
          <w:p>
            <w:pPr>
              <w:spacing w:after="0"/>
              <w:rPr>
                <w:sz w:val="12"/>
                <w:szCs w:val="12"/>
                <w:color w:val="auto"/>
              </w:rPr>
            </w:pPr>
          </w:p>
        </w:tc>
        <w:tc>
          <w:tcPr>
            <w:tcW w:w="1460" w:type="dxa"/>
            <w:vAlign w:val="bottom"/>
            <w:shd w:val="clear" w:color="auto" w:fill="EEEEEF"/>
          </w:tcPr>
          <w:p>
            <w:pPr>
              <w:spacing w:after="0"/>
              <w:rPr>
                <w:sz w:val="12"/>
                <w:szCs w:val="12"/>
                <w:color w:val="auto"/>
              </w:rPr>
            </w:pPr>
          </w:p>
        </w:tc>
        <w:tc>
          <w:tcPr>
            <w:tcW w:w="3520" w:type="dxa"/>
            <w:vAlign w:val="bottom"/>
            <w:shd w:val="clear" w:color="auto" w:fill="EEEEEF"/>
          </w:tcPr>
          <w:p>
            <w:pPr>
              <w:ind w:left="140"/>
              <w:spacing w:after="0" w:line="148" w:lineRule="exact"/>
              <w:rPr>
                <w:sz w:val="20"/>
                <w:szCs w:val="20"/>
                <w:color w:val="auto"/>
              </w:rPr>
            </w:pPr>
            <w:r>
              <w:rPr>
                <w:rFonts w:ascii="Times New Roman" w:cs="Times New Roman" w:eastAsia="Times New Roman" w:hAnsi="Times New Roman"/>
                <w:sz w:val="16"/>
                <w:szCs w:val="16"/>
                <w:color w:val="auto"/>
              </w:rPr>
              <w:t>At least one FOR vote. Nominees receiving the</w:t>
            </w:r>
          </w:p>
        </w:tc>
        <w:tc>
          <w:tcPr>
            <w:tcW w:w="1500" w:type="dxa"/>
            <w:vAlign w:val="bottom"/>
            <w:shd w:val="clear" w:color="auto" w:fill="EEEEEF"/>
          </w:tcPr>
          <w:p>
            <w:pPr>
              <w:spacing w:after="0"/>
              <w:rPr>
                <w:sz w:val="12"/>
                <w:szCs w:val="12"/>
                <w:color w:val="auto"/>
              </w:rPr>
            </w:pPr>
          </w:p>
        </w:tc>
        <w:tc>
          <w:tcPr>
            <w:tcW w:w="1360" w:type="dxa"/>
            <w:vAlign w:val="bottom"/>
            <w:shd w:val="clear" w:color="auto" w:fill="EEEEE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EEEEEF"/>
          </w:tcPr>
          <w:p>
            <w:pPr>
              <w:spacing w:after="0"/>
              <w:rPr>
                <w:sz w:val="15"/>
                <w:szCs w:val="15"/>
                <w:color w:val="auto"/>
              </w:rPr>
            </w:pPr>
          </w:p>
        </w:tc>
        <w:tc>
          <w:tcPr>
            <w:tcW w:w="1460" w:type="dxa"/>
            <w:vAlign w:val="bottom"/>
            <w:shd w:val="clear" w:color="auto" w:fill="EEEEEF"/>
          </w:tcPr>
          <w:p>
            <w:pPr>
              <w:spacing w:after="0"/>
              <w:rPr>
                <w:sz w:val="15"/>
                <w:szCs w:val="15"/>
                <w:color w:val="auto"/>
              </w:rPr>
            </w:pPr>
          </w:p>
        </w:tc>
        <w:tc>
          <w:tcPr>
            <w:tcW w:w="3520" w:type="dxa"/>
            <w:vAlign w:val="bottom"/>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highest number of “FOR” votes are elected until</w:t>
            </w:r>
          </w:p>
        </w:tc>
        <w:tc>
          <w:tcPr>
            <w:tcW w:w="1500" w:type="dxa"/>
            <w:vAlign w:val="bottom"/>
            <w:shd w:val="clear" w:color="auto" w:fill="EEEEEF"/>
          </w:tcPr>
          <w:p>
            <w:pPr>
              <w:spacing w:after="0"/>
              <w:rPr>
                <w:sz w:val="15"/>
                <w:szCs w:val="15"/>
                <w:color w:val="auto"/>
              </w:rPr>
            </w:pPr>
          </w:p>
        </w:tc>
        <w:tc>
          <w:tcPr>
            <w:tcW w:w="1360" w:type="dxa"/>
            <w:vAlign w:val="bottom"/>
            <w:shd w:val="clear" w:color="auto" w:fill="EEEEE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EEEEEF"/>
          </w:tcPr>
          <w:p>
            <w:pPr>
              <w:spacing w:after="0" w:line="175" w:lineRule="exact"/>
              <w:rPr>
                <w:sz w:val="20"/>
                <w:szCs w:val="20"/>
                <w:color w:val="auto"/>
              </w:rPr>
            </w:pPr>
            <w:r>
              <w:rPr>
                <w:rFonts w:ascii="Times New Roman" w:cs="Times New Roman" w:eastAsia="Times New Roman" w:hAnsi="Times New Roman"/>
                <w:sz w:val="16"/>
                <w:szCs w:val="16"/>
                <w:color w:val="auto"/>
              </w:rPr>
              <w:t>Election of Directors</w:t>
            </w:r>
          </w:p>
        </w:tc>
        <w:tc>
          <w:tcPr>
            <w:tcW w:w="1460" w:type="dxa"/>
            <w:vAlign w:val="bottom"/>
            <w:shd w:val="clear" w:color="auto" w:fill="EEEEE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w:t>
            </w:r>
          </w:p>
        </w:tc>
        <w:tc>
          <w:tcPr>
            <w:tcW w:w="3520" w:type="dxa"/>
            <w:vAlign w:val="bottom"/>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all board seats are filled. In an uncontested</w:t>
            </w:r>
          </w:p>
        </w:tc>
        <w:tc>
          <w:tcPr>
            <w:tcW w:w="1500" w:type="dxa"/>
            <w:vAlign w:val="bottom"/>
            <w:vMerge w:val="restart"/>
            <w:shd w:val="clear" w:color="auto" w:fill="EEEEEF"/>
          </w:tcPr>
          <w:p>
            <w:pPr>
              <w:jc w:val="center"/>
              <w:ind w:right="59"/>
              <w:spacing w:after="0"/>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shd w:val="clear" w:color="auto" w:fill="EEEEEF"/>
          </w:tcPr>
          <w:p>
            <w:pPr>
              <w:jc w:val="center"/>
              <w:spacing w:after="0"/>
              <w:rPr>
                <w:sz w:val="20"/>
                <w:szCs w:val="20"/>
                <w:color w:val="auto"/>
              </w:rPr>
            </w:pPr>
            <w:r>
              <w:rPr>
                <w:rFonts w:ascii="Times New Roman" w:cs="Times New Roman" w:eastAsia="Times New Roman" w:hAnsi="Times New Roman"/>
                <w:sz w:val="16"/>
                <w:szCs w:val="16"/>
                <w:color w:val="auto"/>
              </w:rPr>
              <w:t>No Effect (1)</w:t>
            </w:r>
          </w:p>
        </w:tc>
        <w:tc>
          <w:tcPr>
            <w:tcW w:w="0" w:type="dxa"/>
            <w:vAlign w:val="bottom"/>
          </w:tcPr>
          <w:p>
            <w:pPr>
              <w:spacing w:after="0"/>
              <w:rPr>
                <w:sz w:val="1"/>
                <w:szCs w:val="1"/>
                <w:color w:val="auto"/>
              </w:rPr>
            </w:pPr>
          </w:p>
        </w:tc>
      </w:tr>
      <w:tr>
        <w:trPr>
          <w:trHeight w:val="116"/>
        </w:trPr>
        <w:tc>
          <w:tcPr>
            <w:tcW w:w="2100" w:type="dxa"/>
            <w:vAlign w:val="bottom"/>
            <w:vMerge w:val="restart"/>
            <w:shd w:val="clear" w:color="auto" w:fill="EEEEEF"/>
          </w:tcPr>
          <w:p>
            <w:pPr>
              <w:spacing w:after="0" w:line="175" w:lineRule="exact"/>
              <w:rPr>
                <w:sz w:val="20"/>
                <w:szCs w:val="20"/>
                <w:color w:val="auto"/>
              </w:rPr>
            </w:pPr>
            <w:r>
              <w:rPr>
                <w:rFonts w:ascii="Times New Roman" w:cs="Times New Roman" w:eastAsia="Times New Roman" w:hAnsi="Times New Roman"/>
                <w:sz w:val="16"/>
                <w:szCs w:val="16"/>
                <w:color w:val="auto"/>
              </w:rPr>
              <w:t>(Proposal 1)</w:t>
            </w:r>
          </w:p>
        </w:tc>
        <w:tc>
          <w:tcPr>
            <w:tcW w:w="1460" w:type="dxa"/>
            <w:vAlign w:val="bottom"/>
            <w:vMerge w:val="restart"/>
            <w:shd w:val="clear" w:color="auto" w:fill="EEEEEF"/>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rPr>
              <w:t>WITHHOLD</w:t>
            </w:r>
          </w:p>
        </w:tc>
        <w:tc>
          <w:tcPr>
            <w:tcW w:w="3520" w:type="dxa"/>
            <w:vAlign w:val="bottom"/>
            <w:vMerge w:val="restart"/>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election, where the number of nominees and</w:t>
            </w:r>
          </w:p>
        </w:tc>
        <w:tc>
          <w:tcPr>
            <w:tcW w:w="1500" w:type="dxa"/>
            <w:vAlign w:val="bottom"/>
            <w:vMerge w:val="continue"/>
            <w:shd w:val="clear" w:color="auto" w:fill="EEEEEF"/>
          </w:tcPr>
          <w:p>
            <w:pPr>
              <w:spacing w:after="0"/>
              <w:rPr>
                <w:sz w:val="10"/>
                <w:szCs w:val="10"/>
                <w:color w:val="auto"/>
              </w:rPr>
            </w:pPr>
          </w:p>
        </w:tc>
        <w:tc>
          <w:tcPr>
            <w:tcW w:w="1360" w:type="dxa"/>
            <w:vAlign w:val="bottom"/>
            <w:vMerge w:val="continue"/>
            <w:shd w:val="clear" w:color="auto" w:fill="EEEEE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100" w:type="dxa"/>
            <w:vAlign w:val="bottom"/>
            <w:vMerge w:val="continue"/>
            <w:shd w:val="clear" w:color="auto" w:fill="EEEEEF"/>
          </w:tcPr>
          <w:p>
            <w:pPr>
              <w:spacing w:after="0"/>
              <w:rPr>
                <w:sz w:val="5"/>
                <w:szCs w:val="5"/>
                <w:color w:val="auto"/>
              </w:rPr>
            </w:pPr>
          </w:p>
        </w:tc>
        <w:tc>
          <w:tcPr>
            <w:tcW w:w="1460" w:type="dxa"/>
            <w:vAlign w:val="bottom"/>
            <w:vMerge w:val="continue"/>
            <w:shd w:val="clear" w:color="auto" w:fill="EEEEEF"/>
          </w:tcPr>
          <w:p>
            <w:pPr>
              <w:spacing w:after="0"/>
              <w:rPr>
                <w:sz w:val="5"/>
                <w:szCs w:val="5"/>
                <w:color w:val="auto"/>
              </w:rPr>
            </w:pPr>
          </w:p>
        </w:tc>
        <w:tc>
          <w:tcPr>
            <w:tcW w:w="3520" w:type="dxa"/>
            <w:vAlign w:val="bottom"/>
            <w:vMerge w:val="continue"/>
            <w:shd w:val="clear" w:color="auto" w:fill="EEEEEF"/>
          </w:tcPr>
          <w:p>
            <w:pPr>
              <w:spacing w:after="0"/>
              <w:rPr>
                <w:sz w:val="5"/>
                <w:szCs w:val="5"/>
                <w:color w:val="auto"/>
              </w:rPr>
            </w:pPr>
          </w:p>
        </w:tc>
        <w:tc>
          <w:tcPr>
            <w:tcW w:w="1500" w:type="dxa"/>
            <w:vAlign w:val="bottom"/>
            <w:shd w:val="clear" w:color="auto" w:fill="EEEEEF"/>
          </w:tcPr>
          <w:p>
            <w:pPr>
              <w:spacing w:after="0"/>
              <w:rPr>
                <w:sz w:val="5"/>
                <w:szCs w:val="5"/>
                <w:color w:val="auto"/>
              </w:rPr>
            </w:pPr>
          </w:p>
        </w:tc>
        <w:tc>
          <w:tcPr>
            <w:tcW w:w="1360" w:type="dxa"/>
            <w:vAlign w:val="bottom"/>
            <w:shd w:val="clear" w:color="auto" w:fill="EEEEE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EEEEEF"/>
          </w:tcPr>
          <w:p>
            <w:pPr>
              <w:spacing w:after="0"/>
              <w:rPr>
                <w:sz w:val="15"/>
                <w:szCs w:val="15"/>
                <w:color w:val="auto"/>
              </w:rPr>
            </w:pPr>
          </w:p>
        </w:tc>
        <w:tc>
          <w:tcPr>
            <w:tcW w:w="1460" w:type="dxa"/>
            <w:vAlign w:val="bottom"/>
            <w:shd w:val="clear" w:color="auto" w:fill="EEEEEF"/>
          </w:tcPr>
          <w:p>
            <w:pPr>
              <w:spacing w:after="0"/>
              <w:rPr>
                <w:sz w:val="15"/>
                <w:szCs w:val="15"/>
                <w:color w:val="auto"/>
              </w:rPr>
            </w:pPr>
          </w:p>
        </w:tc>
        <w:tc>
          <w:tcPr>
            <w:tcW w:w="3520" w:type="dxa"/>
            <w:vAlign w:val="bottom"/>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available board seats are equal, election requires</w:t>
            </w:r>
          </w:p>
        </w:tc>
        <w:tc>
          <w:tcPr>
            <w:tcW w:w="1500" w:type="dxa"/>
            <w:vAlign w:val="bottom"/>
            <w:shd w:val="clear" w:color="auto" w:fill="EEEEEF"/>
          </w:tcPr>
          <w:p>
            <w:pPr>
              <w:spacing w:after="0"/>
              <w:rPr>
                <w:sz w:val="15"/>
                <w:szCs w:val="15"/>
                <w:color w:val="auto"/>
              </w:rPr>
            </w:pPr>
          </w:p>
        </w:tc>
        <w:tc>
          <w:tcPr>
            <w:tcW w:w="1360" w:type="dxa"/>
            <w:vAlign w:val="bottom"/>
            <w:shd w:val="clear" w:color="auto" w:fill="EEEEE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shd w:val="clear" w:color="auto" w:fill="EEEEEF"/>
          </w:tcPr>
          <w:p>
            <w:pPr>
              <w:spacing w:after="0"/>
              <w:rPr>
                <w:sz w:val="17"/>
                <w:szCs w:val="17"/>
                <w:color w:val="auto"/>
              </w:rPr>
            </w:pPr>
          </w:p>
        </w:tc>
        <w:tc>
          <w:tcPr>
            <w:tcW w:w="1460" w:type="dxa"/>
            <w:vAlign w:val="bottom"/>
            <w:tcBorders>
              <w:bottom w:val="single" w:sz="8" w:color="auto"/>
            </w:tcBorders>
            <w:shd w:val="clear" w:color="auto" w:fill="EEEEEF"/>
          </w:tcPr>
          <w:p>
            <w:pPr>
              <w:spacing w:after="0"/>
              <w:rPr>
                <w:sz w:val="17"/>
                <w:szCs w:val="17"/>
                <w:color w:val="auto"/>
              </w:rPr>
            </w:pPr>
          </w:p>
        </w:tc>
        <w:tc>
          <w:tcPr>
            <w:tcW w:w="3520" w:type="dxa"/>
            <w:vAlign w:val="bottom"/>
            <w:tcBorders>
              <w:bottom w:val="single" w:sz="8" w:color="auto"/>
            </w:tcBorders>
            <w:shd w:val="clear" w:color="auto" w:fill="EEEEEF"/>
          </w:tcPr>
          <w:p>
            <w:pPr>
              <w:ind w:left="140"/>
              <w:spacing w:after="0"/>
              <w:rPr>
                <w:sz w:val="20"/>
                <w:szCs w:val="20"/>
                <w:color w:val="auto"/>
              </w:rPr>
            </w:pPr>
            <w:r>
              <w:rPr>
                <w:rFonts w:ascii="Times New Roman" w:cs="Times New Roman" w:eastAsia="Times New Roman" w:hAnsi="Times New Roman"/>
                <w:sz w:val="16"/>
                <w:szCs w:val="16"/>
                <w:color w:val="auto"/>
              </w:rPr>
              <w:t>only a single vote or more.</w:t>
            </w:r>
          </w:p>
        </w:tc>
        <w:tc>
          <w:tcPr>
            <w:tcW w:w="1500" w:type="dxa"/>
            <w:vAlign w:val="bottom"/>
            <w:tcBorders>
              <w:bottom w:val="single" w:sz="8" w:color="auto"/>
            </w:tcBorders>
            <w:shd w:val="clear" w:color="auto" w:fill="EEEEEF"/>
          </w:tcPr>
          <w:p>
            <w:pPr>
              <w:spacing w:after="0"/>
              <w:rPr>
                <w:sz w:val="17"/>
                <w:szCs w:val="17"/>
                <w:color w:val="auto"/>
              </w:rPr>
            </w:pPr>
          </w:p>
        </w:tc>
        <w:tc>
          <w:tcPr>
            <w:tcW w:w="1360" w:type="dxa"/>
            <w:vAlign w:val="bottom"/>
            <w:tcBorders>
              <w:bottom w:val="single" w:sz="8" w:color="auto"/>
            </w:tcBorders>
            <w:shd w:val="clear" w:color="auto" w:fill="EEEEE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Ratification of Appointment of</w:t>
            </w:r>
          </w:p>
        </w:tc>
        <w:tc>
          <w:tcPr>
            <w:tcW w:w="1460" w:type="dxa"/>
            <w:vAlign w:val="bottom"/>
          </w:tcPr>
          <w:p>
            <w:pPr>
              <w:spacing w:after="0"/>
              <w:rPr>
                <w:sz w:val="12"/>
                <w:szCs w:val="12"/>
                <w:color w:val="auto"/>
              </w:rPr>
            </w:pPr>
          </w:p>
        </w:tc>
        <w:tc>
          <w:tcPr>
            <w:tcW w:w="352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present in</w:t>
            </w: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person or represented by proxy at the meeting and</w:t>
            </w:r>
          </w:p>
        </w:tc>
        <w:tc>
          <w:tcPr>
            <w:tcW w:w="15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0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Independent Auditors (Proposal</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vMerge w:val="restart"/>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auto"/>
              </w:rPr>
              <w:t>No Effect (2)</w:t>
            </w: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entitled to vote on the proposal and which has</w:t>
            </w:r>
          </w:p>
        </w:tc>
        <w:tc>
          <w:tcPr>
            <w:tcW w:w="1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10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actually been voted.</w:t>
            </w:r>
          </w:p>
        </w:tc>
        <w:tc>
          <w:tcPr>
            <w:tcW w:w="1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F2F2F2"/>
          </w:tcPr>
          <w:p>
            <w:pPr>
              <w:spacing w:after="0" w:line="142" w:lineRule="exact"/>
              <w:rPr>
                <w:sz w:val="20"/>
                <w:szCs w:val="20"/>
                <w:color w:val="auto"/>
              </w:rPr>
            </w:pPr>
            <w:r>
              <w:rPr>
                <w:rFonts w:ascii="Times New Roman" w:cs="Times New Roman" w:eastAsia="Times New Roman" w:hAnsi="Times New Roman"/>
                <w:sz w:val="16"/>
                <w:szCs w:val="16"/>
                <w:color w:val="auto"/>
              </w:rPr>
              <w:t>Approval of Reverse Stock</w:t>
            </w:r>
          </w:p>
        </w:tc>
        <w:tc>
          <w:tcPr>
            <w:tcW w:w="1460" w:type="dxa"/>
            <w:vAlign w:val="bottom"/>
            <w:shd w:val="clear" w:color="auto" w:fill="F2F2F2"/>
          </w:tcPr>
          <w:p>
            <w:pPr>
              <w:jc w:val="center"/>
              <w:ind w:left="19"/>
              <w:spacing w:after="0" w:line="142"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shd w:val="clear" w:color="auto" w:fill="F2F2F2"/>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entitled to</w:t>
            </w:r>
          </w:p>
        </w:tc>
        <w:tc>
          <w:tcPr>
            <w:tcW w:w="1500" w:type="dxa"/>
            <w:vAlign w:val="bottom"/>
            <w:vMerge w:val="restart"/>
            <w:shd w:val="clear" w:color="auto" w:fill="F2F2F2"/>
          </w:tcPr>
          <w:p>
            <w:pPr>
              <w:jc w:val="center"/>
              <w:ind w:right="59"/>
              <w:spacing w:after="0"/>
              <w:rPr>
                <w:sz w:val="20"/>
                <w:szCs w:val="20"/>
                <w:color w:val="auto"/>
              </w:rPr>
            </w:pPr>
            <w:r>
              <w:rPr>
                <w:rFonts w:ascii="Times New Roman" w:cs="Times New Roman" w:eastAsia="Times New Roman" w:hAnsi="Times New Roman"/>
                <w:sz w:val="16"/>
                <w:szCs w:val="16"/>
                <w:color w:val="auto"/>
                <w:w w:val="98"/>
              </w:rPr>
              <w:t>Vote Against</w:t>
            </w:r>
          </w:p>
        </w:tc>
        <w:tc>
          <w:tcPr>
            <w:tcW w:w="1360" w:type="dxa"/>
            <w:vAlign w:val="bottom"/>
            <w:vMerge w:val="restart"/>
            <w:shd w:val="clear" w:color="auto" w:fill="EEEEEF"/>
          </w:tcPr>
          <w:p>
            <w:pPr>
              <w:jc w:val="center"/>
              <w:spacing w:after="0"/>
              <w:rPr>
                <w:sz w:val="20"/>
                <w:szCs w:val="20"/>
                <w:color w:val="auto"/>
              </w:rPr>
            </w:pPr>
            <w:r>
              <w:rPr>
                <w:rFonts w:ascii="Times New Roman" w:cs="Times New Roman" w:eastAsia="Times New Roman" w:hAnsi="Times New Roman"/>
                <w:sz w:val="16"/>
                <w:szCs w:val="16"/>
                <w:color w:val="auto"/>
              </w:rPr>
              <w:t>Vote Against (1)</w:t>
            </w:r>
          </w:p>
        </w:tc>
        <w:tc>
          <w:tcPr>
            <w:tcW w:w="0" w:type="dxa"/>
            <w:vAlign w:val="bottom"/>
          </w:tcPr>
          <w:p>
            <w:pPr>
              <w:spacing w:after="0"/>
              <w:rPr>
                <w:sz w:val="1"/>
                <w:szCs w:val="1"/>
                <w:color w:val="auto"/>
              </w:rPr>
            </w:pPr>
          </w:p>
        </w:tc>
      </w:tr>
      <w:tr>
        <w:trPr>
          <w:trHeight w:val="116"/>
        </w:trPr>
        <w:tc>
          <w:tcPr>
            <w:tcW w:w="210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6"/>
                <w:szCs w:val="16"/>
                <w:color w:val="auto"/>
              </w:rPr>
              <w:t>Split (Proposal 3)</w:t>
            </w:r>
          </w:p>
        </w:tc>
        <w:tc>
          <w:tcPr>
            <w:tcW w:w="1460" w:type="dxa"/>
            <w:vAlign w:val="bottom"/>
            <w:vMerge w:val="restart"/>
            <w:shd w:val="clear" w:color="auto" w:fill="F2F2F2"/>
          </w:tcPr>
          <w:p>
            <w:pPr>
              <w:jc w:val="center"/>
              <w:ind w:left="59"/>
              <w:spacing w:after="0"/>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shd w:val="clear" w:color="auto" w:fill="F2F2F2"/>
          </w:tcPr>
          <w:p>
            <w:pPr>
              <w:ind w:left="140"/>
              <w:spacing w:after="0"/>
              <w:rPr>
                <w:sz w:val="20"/>
                <w:szCs w:val="20"/>
                <w:color w:val="auto"/>
              </w:rPr>
            </w:pPr>
            <w:r>
              <w:rPr>
                <w:rFonts w:ascii="Times New Roman" w:cs="Times New Roman" w:eastAsia="Times New Roman" w:hAnsi="Times New Roman"/>
                <w:sz w:val="16"/>
                <w:szCs w:val="16"/>
                <w:color w:val="auto"/>
              </w:rPr>
              <w:t>vote on the proposal, voting as a single class.</w:t>
            </w:r>
          </w:p>
        </w:tc>
        <w:tc>
          <w:tcPr>
            <w:tcW w:w="1500" w:type="dxa"/>
            <w:vAlign w:val="bottom"/>
            <w:vMerge w:val="continue"/>
            <w:shd w:val="clear" w:color="auto" w:fill="F2F2F2"/>
          </w:tcPr>
          <w:p>
            <w:pPr>
              <w:spacing w:after="0"/>
              <w:rPr>
                <w:sz w:val="10"/>
                <w:szCs w:val="10"/>
                <w:color w:val="auto"/>
              </w:rPr>
            </w:pPr>
          </w:p>
        </w:tc>
        <w:tc>
          <w:tcPr>
            <w:tcW w:w="1360" w:type="dxa"/>
            <w:vAlign w:val="bottom"/>
            <w:vMerge w:val="continue"/>
            <w:shd w:val="clear" w:color="auto" w:fill="EEEEE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00" w:type="dxa"/>
            <w:vAlign w:val="bottom"/>
            <w:vMerge w:val="continue"/>
            <w:shd w:val="clear" w:color="auto" w:fill="F2F2F2"/>
          </w:tcPr>
          <w:p>
            <w:pPr>
              <w:spacing w:after="0"/>
              <w:rPr>
                <w:sz w:val="7"/>
                <w:szCs w:val="7"/>
                <w:color w:val="auto"/>
              </w:rPr>
            </w:pPr>
          </w:p>
        </w:tc>
        <w:tc>
          <w:tcPr>
            <w:tcW w:w="1460" w:type="dxa"/>
            <w:vAlign w:val="bottom"/>
            <w:vMerge w:val="continue"/>
            <w:shd w:val="clear" w:color="auto" w:fill="F2F2F2"/>
          </w:tcPr>
          <w:p>
            <w:pPr>
              <w:spacing w:after="0"/>
              <w:rPr>
                <w:sz w:val="7"/>
                <w:szCs w:val="7"/>
                <w:color w:val="auto"/>
              </w:rPr>
            </w:pPr>
          </w:p>
        </w:tc>
        <w:tc>
          <w:tcPr>
            <w:tcW w:w="3520" w:type="dxa"/>
            <w:vAlign w:val="bottom"/>
            <w:vMerge w:val="continue"/>
            <w:shd w:val="clear" w:color="auto" w:fill="F2F2F2"/>
          </w:tcPr>
          <w:p>
            <w:pPr>
              <w:spacing w:after="0"/>
              <w:rPr>
                <w:sz w:val="7"/>
                <w:szCs w:val="7"/>
                <w:color w:val="auto"/>
              </w:rPr>
            </w:pPr>
          </w:p>
        </w:tc>
        <w:tc>
          <w:tcPr>
            <w:tcW w:w="1500" w:type="dxa"/>
            <w:vAlign w:val="bottom"/>
            <w:shd w:val="clear" w:color="auto" w:fill="F2F2F2"/>
          </w:tcPr>
          <w:p>
            <w:pPr>
              <w:spacing w:after="0"/>
              <w:rPr>
                <w:sz w:val="7"/>
                <w:szCs w:val="7"/>
                <w:color w:val="auto"/>
              </w:rPr>
            </w:pPr>
          </w:p>
        </w:tc>
        <w:tc>
          <w:tcPr>
            <w:tcW w:w="1360" w:type="dxa"/>
            <w:vAlign w:val="bottom"/>
            <w:shd w:val="clear" w:color="auto" w:fill="EEEEE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shd w:val="clear" w:color="auto" w:fill="F2F2F2"/>
          </w:tcPr>
          <w:p>
            <w:pPr>
              <w:spacing w:after="0"/>
              <w:rPr>
                <w:sz w:val="16"/>
                <w:szCs w:val="16"/>
                <w:color w:val="auto"/>
              </w:rPr>
            </w:pPr>
          </w:p>
        </w:tc>
        <w:tc>
          <w:tcPr>
            <w:tcW w:w="1460" w:type="dxa"/>
            <w:vAlign w:val="bottom"/>
            <w:tcBorders>
              <w:bottom w:val="single" w:sz="8" w:color="auto"/>
            </w:tcBorders>
            <w:shd w:val="clear" w:color="auto" w:fill="F2F2F2"/>
          </w:tcPr>
          <w:p>
            <w:pPr>
              <w:spacing w:after="0"/>
              <w:rPr>
                <w:sz w:val="16"/>
                <w:szCs w:val="16"/>
                <w:color w:val="auto"/>
              </w:rPr>
            </w:pPr>
          </w:p>
        </w:tc>
        <w:tc>
          <w:tcPr>
            <w:tcW w:w="3520" w:type="dxa"/>
            <w:vAlign w:val="bottom"/>
            <w:tcBorders>
              <w:bottom w:val="single" w:sz="8" w:color="auto"/>
            </w:tcBorders>
            <w:shd w:val="clear" w:color="auto" w:fill="F2F2F2"/>
          </w:tcPr>
          <w:p>
            <w:pPr>
              <w:spacing w:after="0"/>
              <w:rPr>
                <w:sz w:val="16"/>
                <w:szCs w:val="16"/>
                <w:color w:val="auto"/>
              </w:rPr>
            </w:pPr>
          </w:p>
        </w:tc>
        <w:tc>
          <w:tcPr>
            <w:tcW w:w="1500" w:type="dxa"/>
            <w:vAlign w:val="bottom"/>
            <w:tcBorders>
              <w:bottom w:val="single" w:sz="8" w:color="auto"/>
            </w:tcBorders>
            <w:shd w:val="clear" w:color="auto" w:fill="F2F2F2"/>
          </w:tcPr>
          <w:p>
            <w:pPr>
              <w:spacing w:after="0"/>
              <w:rPr>
                <w:sz w:val="16"/>
                <w:szCs w:val="16"/>
                <w:color w:val="auto"/>
              </w:rPr>
            </w:pPr>
          </w:p>
        </w:tc>
        <w:tc>
          <w:tcPr>
            <w:tcW w:w="136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Advisory Vote to Approve the</w:t>
            </w:r>
          </w:p>
        </w:tc>
        <w:tc>
          <w:tcPr>
            <w:tcW w:w="1460" w:type="dxa"/>
            <w:vAlign w:val="bottom"/>
          </w:tcPr>
          <w:p>
            <w:pPr>
              <w:spacing w:after="0"/>
              <w:rPr>
                <w:sz w:val="12"/>
                <w:szCs w:val="12"/>
                <w:color w:val="auto"/>
              </w:rPr>
            </w:pPr>
          </w:p>
        </w:tc>
        <w:tc>
          <w:tcPr>
            <w:tcW w:w="352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present in</w:t>
            </w: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person or represented by proxy at the meeting and</w:t>
            </w:r>
          </w:p>
        </w:tc>
        <w:tc>
          <w:tcPr>
            <w:tcW w:w="15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Compensation of our Named</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vMerge w:val="restart"/>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auto"/>
              </w:rPr>
              <w:t>No Effect (1)</w:t>
            </w: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entitled to vote on the proposal and which has</w:t>
            </w:r>
          </w:p>
        </w:tc>
        <w:tc>
          <w:tcPr>
            <w:tcW w:w="1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Executive Officers (Proposal 4)</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10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actually been voted.</w:t>
            </w:r>
          </w:p>
        </w:tc>
        <w:tc>
          <w:tcPr>
            <w:tcW w:w="1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3520" w:type="dxa"/>
            <w:vAlign w:val="bottom"/>
            <w:shd w:val="clear" w:color="auto" w:fill="F2F2F2"/>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present in</w:t>
            </w:r>
          </w:p>
        </w:tc>
        <w:tc>
          <w:tcPr>
            <w:tcW w:w="1500" w:type="dxa"/>
            <w:vAlign w:val="bottom"/>
            <w:shd w:val="clear" w:color="auto" w:fill="F2F2F2"/>
          </w:tcPr>
          <w:p>
            <w:pPr>
              <w:spacing w:after="0"/>
              <w:rPr>
                <w:sz w:val="12"/>
                <w:szCs w:val="12"/>
                <w:color w:val="auto"/>
              </w:rPr>
            </w:pPr>
          </w:p>
        </w:tc>
        <w:tc>
          <w:tcPr>
            <w:tcW w:w="13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F2F2F2"/>
          </w:tcPr>
          <w:p>
            <w:pPr>
              <w:spacing w:after="0" w:line="175" w:lineRule="exact"/>
              <w:rPr>
                <w:sz w:val="20"/>
                <w:szCs w:val="20"/>
                <w:color w:val="auto"/>
              </w:rPr>
            </w:pPr>
            <w:r>
              <w:rPr>
                <w:rFonts w:ascii="Times New Roman" w:cs="Times New Roman" w:eastAsia="Times New Roman" w:hAnsi="Times New Roman"/>
                <w:sz w:val="16"/>
                <w:szCs w:val="16"/>
                <w:color w:val="auto"/>
              </w:rPr>
              <w:t>Approval of Adjournment</w:t>
            </w:r>
          </w:p>
        </w:tc>
        <w:tc>
          <w:tcPr>
            <w:tcW w:w="1460" w:type="dxa"/>
            <w:vAlign w:val="bottom"/>
            <w:shd w:val="clear" w:color="auto" w:fill="F2F2F2"/>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shd w:val="clear" w:color="auto" w:fill="F2F2F2"/>
          </w:tcPr>
          <w:p>
            <w:pPr>
              <w:ind w:left="140"/>
              <w:spacing w:after="0" w:line="175" w:lineRule="exact"/>
              <w:rPr>
                <w:sz w:val="20"/>
                <w:szCs w:val="20"/>
                <w:color w:val="auto"/>
              </w:rPr>
            </w:pPr>
            <w:r>
              <w:rPr>
                <w:rFonts w:ascii="Times New Roman" w:cs="Times New Roman" w:eastAsia="Times New Roman" w:hAnsi="Times New Roman"/>
                <w:sz w:val="16"/>
                <w:szCs w:val="16"/>
                <w:color w:val="auto"/>
              </w:rPr>
              <w:t>person or represented by proxy at the meeting and</w:t>
            </w:r>
          </w:p>
        </w:tc>
        <w:tc>
          <w:tcPr>
            <w:tcW w:w="1500" w:type="dxa"/>
            <w:vAlign w:val="bottom"/>
            <w:vMerge w:val="restart"/>
            <w:shd w:val="clear" w:color="auto" w:fill="F2F2F2"/>
          </w:tcPr>
          <w:p>
            <w:pPr>
              <w:jc w:val="center"/>
              <w:ind w:right="59"/>
              <w:spacing w:after="0"/>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color w:val="auto"/>
              </w:rPr>
              <w:t>No Effect (1)</w:t>
            </w:r>
          </w:p>
        </w:tc>
        <w:tc>
          <w:tcPr>
            <w:tcW w:w="0" w:type="dxa"/>
            <w:vAlign w:val="bottom"/>
          </w:tcPr>
          <w:p>
            <w:pPr>
              <w:spacing w:after="0"/>
              <w:rPr>
                <w:sz w:val="1"/>
                <w:szCs w:val="1"/>
                <w:color w:val="auto"/>
              </w:rPr>
            </w:pPr>
          </w:p>
        </w:tc>
      </w:tr>
      <w:tr>
        <w:trPr>
          <w:trHeight w:val="116"/>
        </w:trPr>
        <w:tc>
          <w:tcPr>
            <w:tcW w:w="2100" w:type="dxa"/>
            <w:vAlign w:val="bottom"/>
            <w:vMerge w:val="restart"/>
            <w:shd w:val="clear" w:color="auto" w:fill="F2F2F2"/>
          </w:tcPr>
          <w:p>
            <w:pPr>
              <w:spacing w:after="0" w:line="175" w:lineRule="exact"/>
              <w:rPr>
                <w:sz w:val="20"/>
                <w:szCs w:val="20"/>
                <w:color w:val="auto"/>
              </w:rPr>
            </w:pPr>
            <w:r>
              <w:rPr>
                <w:rFonts w:ascii="Times New Roman" w:cs="Times New Roman" w:eastAsia="Times New Roman" w:hAnsi="Times New Roman"/>
                <w:sz w:val="16"/>
                <w:szCs w:val="16"/>
                <w:color w:val="auto"/>
              </w:rPr>
              <w:t>(Proposal 5)</w:t>
            </w:r>
          </w:p>
        </w:tc>
        <w:tc>
          <w:tcPr>
            <w:tcW w:w="1460" w:type="dxa"/>
            <w:vAlign w:val="bottom"/>
            <w:vMerge w:val="restart"/>
            <w:shd w:val="clear" w:color="auto" w:fill="F2F2F2"/>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shd w:val="clear" w:color="auto" w:fill="F2F2F2"/>
          </w:tcPr>
          <w:p>
            <w:pPr>
              <w:ind w:left="140"/>
              <w:spacing w:after="0" w:line="175" w:lineRule="exact"/>
              <w:rPr>
                <w:sz w:val="20"/>
                <w:szCs w:val="20"/>
                <w:color w:val="auto"/>
              </w:rPr>
            </w:pPr>
            <w:r>
              <w:rPr>
                <w:rFonts w:ascii="Times New Roman" w:cs="Times New Roman" w:eastAsia="Times New Roman" w:hAnsi="Times New Roman"/>
                <w:sz w:val="16"/>
                <w:szCs w:val="16"/>
                <w:color w:val="auto"/>
              </w:rPr>
              <w:t>entitled to vote on the proposal and which has</w:t>
            </w:r>
          </w:p>
        </w:tc>
        <w:tc>
          <w:tcPr>
            <w:tcW w:w="1500" w:type="dxa"/>
            <w:vAlign w:val="bottom"/>
            <w:vMerge w:val="continue"/>
            <w:shd w:val="clear" w:color="auto" w:fill="F2F2F2"/>
          </w:tcPr>
          <w:p>
            <w:pPr>
              <w:spacing w:after="0"/>
              <w:rPr>
                <w:sz w:val="10"/>
                <w:szCs w:val="10"/>
                <w:color w:val="auto"/>
              </w:rPr>
            </w:pPr>
          </w:p>
        </w:tc>
        <w:tc>
          <w:tcPr>
            <w:tcW w:w="136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100" w:type="dxa"/>
            <w:vAlign w:val="bottom"/>
            <w:vMerge w:val="continue"/>
            <w:shd w:val="clear" w:color="auto" w:fill="F2F2F2"/>
          </w:tcPr>
          <w:p>
            <w:pPr>
              <w:spacing w:after="0"/>
              <w:rPr>
                <w:sz w:val="5"/>
                <w:szCs w:val="5"/>
                <w:color w:val="auto"/>
              </w:rPr>
            </w:pPr>
          </w:p>
        </w:tc>
        <w:tc>
          <w:tcPr>
            <w:tcW w:w="1460" w:type="dxa"/>
            <w:vAlign w:val="bottom"/>
            <w:vMerge w:val="continue"/>
            <w:shd w:val="clear" w:color="auto" w:fill="F2F2F2"/>
          </w:tcPr>
          <w:p>
            <w:pPr>
              <w:spacing w:after="0"/>
              <w:rPr>
                <w:sz w:val="5"/>
                <w:szCs w:val="5"/>
                <w:color w:val="auto"/>
              </w:rPr>
            </w:pPr>
          </w:p>
        </w:tc>
        <w:tc>
          <w:tcPr>
            <w:tcW w:w="3520" w:type="dxa"/>
            <w:vAlign w:val="bottom"/>
            <w:vMerge w:val="continue"/>
            <w:shd w:val="clear" w:color="auto" w:fill="F2F2F2"/>
          </w:tcPr>
          <w:p>
            <w:pPr>
              <w:spacing w:after="0"/>
              <w:rPr>
                <w:sz w:val="5"/>
                <w:szCs w:val="5"/>
                <w:color w:val="auto"/>
              </w:rPr>
            </w:pPr>
          </w:p>
        </w:tc>
        <w:tc>
          <w:tcPr>
            <w:tcW w:w="1500" w:type="dxa"/>
            <w:vAlign w:val="bottom"/>
            <w:shd w:val="clear" w:color="auto" w:fill="F2F2F2"/>
          </w:tcPr>
          <w:p>
            <w:pPr>
              <w:spacing w:after="0"/>
              <w:rPr>
                <w:sz w:val="5"/>
                <w:szCs w:val="5"/>
                <w:color w:val="auto"/>
              </w:rPr>
            </w:pPr>
          </w:p>
        </w:tc>
        <w:tc>
          <w:tcPr>
            <w:tcW w:w="13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shd w:val="clear" w:color="auto" w:fill="F2F2F2"/>
          </w:tcPr>
          <w:p>
            <w:pPr>
              <w:spacing w:after="0"/>
              <w:rPr>
                <w:sz w:val="18"/>
                <w:szCs w:val="18"/>
                <w:color w:val="auto"/>
              </w:rPr>
            </w:pPr>
          </w:p>
        </w:tc>
        <w:tc>
          <w:tcPr>
            <w:tcW w:w="1460" w:type="dxa"/>
            <w:vAlign w:val="bottom"/>
            <w:tcBorders>
              <w:bottom w:val="single" w:sz="8" w:color="auto"/>
            </w:tcBorders>
            <w:shd w:val="clear" w:color="auto" w:fill="F2F2F2"/>
          </w:tcPr>
          <w:p>
            <w:pPr>
              <w:spacing w:after="0"/>
              <w:rPr>
                <w:sz w:val="18"/>
                <w:szCs w:val="18"/>
                <w:color w:val="auto"/>
              </w:rPr>
            </w:pPr>
          </w:p>
        </w:tc>
        <w:tc>
          <w:tcPr>
            <w:tcW w:w="3520" w:type="dxa"/>
            <w:vAlign w:val="bottom"/>
            <w:tcBorders>
              <w:bottom w:val="single" w:sz="8" w:color="auto"/>
            </w:tcBorders>
            <w:shd w:val="clear" w:color="auto" w:fill="F2F2F2"/>
          </w:tcPr>
          <w:p>
            <w:pPr>
              <w:ind w:left="140"/>
              <w:spacing w:after="0"/>
              <w:rPr>
                <w:sz w:val="20"/>
                <w:szCs w:val="20"/>
                <w:color w:val="auto"/>
              </w:rPr>
            </w:pPr>
            <w:r>
              <w:rPr>
                <w:rFonts w:ascii="Times New Roman" w:cs="Times New Roman" w:eastAsia="Times New Roman" w:hAnsi="Times New Roman"/>
                <w:sz w:val="16"/>
                <w:szCs w:val="16"/>
                <w:color w:val="auto"/>
              </w:rPr>
              <w:t>actually been voted.</w:t>
            </w:r>
          </w:p>
        </w:tc>
        <w:tc>
          <w:tcPr>
            <w:tcW w:w="1500" w:type="dxa"/>
            <w:vAlign w:val="bottom"/>
            <w:tcBorders>
              <w:bottom w:val="single" w:sz="8" w:color="auto"/>
            </w:tcBorders>
            <w:shd w:val="clear" w:color="auto" w:fill="F2F2F2"/>
          </w:tcPr>
          <w:p>
            <w:pPr>
              <w:spacing w:after="0"/>
              <w:rPr>
                <w:sz w:val="18"/>
                <w:szCs w:val="18"/>
                <w:color w:val="auto"/>
              </w:rPr>
            </w:pPr>
          </w:p>
        </w:tc>
        <w:tc>
          <w:tcPr>
            <w:tcW w:w="1360" w:type="dxa"/>
            <w:vAlign w:val="bottom"/>
            <w:tcBorders>
              <w:bottom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12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to be a “non-routine” matter. Accordingly, if you beneficially own your shares and do not provide voting instructions, your broker or other nominee does not have discretionary authority to vote your shares on this proposal.</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ind w:left="660" w:right="40" w:hanging="328"/>
        <w:spacing w:after="0" w:line="263"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to be a “routine” matter. Accordingly, if you beneficially own your shares and do not provide voting instructions, your broker or other nominee has discretionary authority to vote your shares on this proposal, and we do not expect there to be any broker non-votes on this proposal.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p>
      <w:pPr>
        <w:spacing w:after="0" w:line="2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If you are a beneficial owner of shares held by a broker or other nominee and you do not instruct your broker or other nominee how to vote your shares, your broker or other nominee may still be able to vote your shares in its discretion. Under the rules of the New York Stock Exchange, which are also applicable to Nasdaq-listed companies, brokers or other nominees that are subject to New York Stock Exchange rules may use their discretion to vote your “uninstructed” shares on matters considered to be “routine” under New York Stock Exchange rules but not with respect to “non-routine” matters. A broker non-vote occurs when a broker or other nominee has not received voting instructions from the beneficial owner of the shares, and the broker or other nominee cannot vote the shares because the matter is considered “non-routine” under NYSE rules. Proposals 1, 3,4 and 5 are considered to be “non-routine” under New York Stock Exchange rules such that your broker or other nominee may not vote your shares on those proposals in the absence of your voting instructions. Conversely, Proposal 2 is considered to be a “routine” matter under New York Stock Exchange rules, and thus if you do not return voting instructions to your broker or other nominee by its deadline, your shares may be voted by your broker or other nominee in its discretion on Proposal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Vote</w:t>
      </w:r>
    </w:p>
    <w:p>
      <w:pPr>
        <w:spacing w:after="0" w:line="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please vote by proxy in accordance with the instructions on your proxy card or voting instruction card (from your broker or other nominee).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2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a stockholder of record, and you received the Notice by mail with instructions regarding how to view our proxy materials on the Internet, how to receive a paper or email copy of the proxy materials, and how to vote by proxy in advance of the meeting. You can also vote in person or by proxy during the annual meeting. There are three ways stockholders of record can vote by proxy in advance of the meeting: (1) by telephone (by following the instructions on the proxy card); (2) by Internet (by following the instructions provided on the proxy card); or (3) by mail, (by completing and returning the proxy card enclosed in the proxy materials prior to the annual meeting). Unless there are different instructions, all shares represented by valid proxies (and not revoked before they are voted) will be voted as follows at the annual meeting:</w:t>
      </w:r>
    </w:p>
    <w:p>
      <w:pPr>
        <w:spacing w:after="0" w:line="162" w:lineRule="exact"/>
        <w:rPr>
          <w:sz w:val="20"/>
          <w:szCs w:val="20"/>
          <w:color w:val="auto"/>
        </w:rPr>
      </w:pPr>
    </w:p>
    <w:p>
      <w:pPr>
        <w:ind w:left="520" w:right="140"/>
        <w:spacing w:after="0" w:line="238" w:lineRule="auto"/>
        <w:rPr>
          <w:sz w:val="20"/>
          <w:szCs w:val="20"/>
          <w:color w:val="auto"/>
        </w:rPr>
      </w:pPr>
      <w:r>
        <w:rPr>
          <w:rFonts w:ascii="Times New Roman" w:cs="Times New Roman" w:eastAsia="Times New Roman" w:hAnsi="Times New Roman"/>
          <w:sz w:val="18"/>
          <w:szCs w:val="18"/>
          <w:color w:val="auto"/>
        </w:rPr>
        <w:t>FOR the election of each of the director nominees listed in Proposal 1 (unless the authority to vote for the election of any such director nominee is withheld);</w:t>
      </w:r>
    </w:p>
    <w:p>
      <w:pPr>
        <w:ind w:left="520" w:right="1160"/>
        <w:spacing w:after="0" w:line="219" w:lineRule="auto"/>
        <w:rPr>
          <w:sz w:val="20"/>
          <w:szCs w:val="20"/>
          <w:color w:val="auto"/>
        </w:rPr>
      </w:pPr>
      <w:r>
        <w:rPr>
          <w:rFonts w:ascii="Times New Roman" w:cs="Times New Roman" w:eastAsia="Times New Roman" w:hAnsi="Times New Roman"/>
          <w:sz w:val="18"/>
          <w:szCs w:val="18"/>
          <w:color w:val="auto"/>
        </w:rPr>
        <w:t>FOR the ratification of the appointment of Deloitte as our independent registered public accounting firm as described in Proposal 2; FOR the approval of the Reverse Stock Split in Proposal 3;</w:t>
      </w:r>
    </w:p>
    <w:p>
      <w:pPr>
        <w:ind w:left="520" w:right="420"/>
        <w:spacing w:after="0" w:line="243" w:lineRule="auto"/>
        <w:rPr>
          <w:sz w:val="20"/>
          <w:szCs w:val="20"/>
          <w:color w:val="auto"/>
        </w:rPr>
      </w:pPr>
      <w:r>
        <w:rPr>
          <w:rFonts w:ascii="Times New Roman" w:cs="Times New Roman" w:eastAsia="Times New Roman" w:hAnsi="Times New Roman"/>
          <w:sz w:val="18"/>
          <w:szCs w:val="18"/>
          <w:color w:val="auto"/>
        </w:rPr>
        <w:t>FOR the approval, on a non-binding, advisory basis, of the compensation paid to our named executive officers as described in Proposal 4; and FOR the adjournment in Proposal 5.</w:t>
      </w:r>
    </w:p>
    <w:p>
      <w:pPr>
        <w:spacing w:after="0" w:line="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you provide specific voting instructions, your shares will be voted as instructed. Telephone and Internet voting facilities for stockholders of record will be available 24 hours a day until 11:59 pm, ET, on June 22,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of Shares Held in Street Name</w:t>
      </w:r>
    </w:p>
    <w:p>
      <w:pPr>
        <w:spacing w:after="0" w:line="20"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If your shares are held in an account at a broker or other nominee, then you are the beneficial owner of shares held in “street name,” and such organization forwarded to you the proxy materials. You should follow the instructions from such broker or other nominee in order to vote your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As of April 24, 2026, there are 5,147,204 shares of Common Stock and 263,753 shares of Series A Preferred Stock issued and outstanding. Each share of Common Stock is entitled to one vote on the matters to be considered at the 2026 Annual Meeting and each share of Preferred Stock is entitled to twenty votes on the matters to be considered at the 2026 Annual Meeting. The total number of votes entitled to be cast by holders of Preferred Stock is 5,275,076. The total number of votes entitled to be cast at the 2026 Annual Meeting outstanding is 10,422,280.</w:t>
      </w:r>
    </w:p>
    <w:p>
      <w:pPr>
        <w:spacing w:after="0" w:line="145"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18"/>
          <w:szCs w:val="18"/>
          <w:color w:val="auto"/>
        </w:rPr>
        <w:t>Although we do not know of any business to be considered at the annual meeting other than the proposals described in the proxy statement, if any other business is presented at the annual meeting, your signed proxy or your authenticated Internet or telephone proxy will give authority to David A. Frank to vote on such matters at his discretion.</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7" w:name="page8"/>
    <w:bookmarkEnd w:id="7"/>
    <w:p>
      <w:pPr>
        <w:ind w:right="400"/>
        <w:spacing w:after="0" w:line="448" w:lineRule="auto"/>
        <w:rPr>
          <w:sz w:val="20"/>
          <w:szCs w:val="20"/>
          <w:color w:val="auto"/>
        </w:rPr>
      </w:pPr>
      <w:r>
        <w:rPr>
          <w:rFonts w:ascii="Times New Roman" w:cs="Times New Roman" w:eastAsia="Times New Roman" w:hAnsi="Times New Roman"/>
          <w:sz w:val="18"/>
          <w:szCs w:val="18"/>
          <w:b w:val="1"/>
          <w:bCs w:val="1"/>
          <w:color w:val="auto"/>
        </w:rPr>
        <w:t>YOUR VOTE IS IMPORTANT. PLEASE VOTE WHETHER OR NOT YOU PLAN TO ATTEND THE ANNUAL MEETING IN PERSON. How do I attend the meeting?</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You are entitled to attend the annual meeting only if you were a stockholder of record as of the record date, or if you are a “beneficial owner” of shares held in “street name” as of the record date and you hold a valid legal proxy for the annual meeting, executed in your favor by your broker or other nominee. Registration will begin at 10:30 a.m., Eastern Time on the date of the annual meeting, and seating will begin immediately after. Since seating is limited, admission to the annual meeting will be on a first-come, first-served basis.</w:t>
      </w:r>
    </w:p>
    <w:p>
      <w:pPr>
        <w:spacing w:after="0" w:line="15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If you plan to attend, in addition to the legal proxy required if you are a “beneficial owner” of your shares, please note that all attendees should be prepared to present government-issued photo identification for admittance, such as a passport or driver’s license. In addition, if you are the “beneficial owner” of your shares, you will also need proof of ownership as of the record date, such as the Notice, the voting instruction card provided by your broker or other nominee, your most recent account statement prior to the record date, or similar evidence of ownership. If you do not have a valid picture identification or proof of ownership of our stock, you may be denied admission to the annual meeting. If you do not comply with each of the foregoing requirements, you may not be admitted to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a proxy?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at any time before it is actually voted at the annual meeting by:</w:t>
      </w:r>
    </w:p>
    <w:p>
      <w:pPr>
        <w:spacing w:after="0" w:line="104" w:lineRule="exact"/>
        <w:rPr>
          <w:sz w:val="20"/>
          <w:szCs w:val="20"/>
          <w:color w:val="auto"/>
        </w:rPr>
      </w:pPr>
    </w:p>
    <w:p>
      <w:pPr>
        <w:ind w:left="660" w:right="520"/>
        <w:spacing w:after="0" w:line="230" w:lineRule="auto"/>
        <w:rPr>
          <w:sz w:val="20"/>
          <w:szCs w:val="20"/>
          <w:color w:val="auto"/>
        </w:rPr>
      </w:pPr>
      <w:r>
        <w:rPr>
          <w:rFonts w:ascii="Times New Roman" w:cs="Times New Roman" w:eastAsia="Times New Roman" w:hAnsi="Times New Roman"/>
          <w:sz w:val="18"/>
          <w:szCs w:val="18"/>
          <w:color w:val="auto"/>
        </w:rPr>
        <w:t>delivering written notice of revocation to our Corporate Secretary at 233 Ayer Road, Suite 4, Harvard, Massachusetts 01451, which must be received by our Corporate Secretary prior to the start of the annual meeting;</w:t>
      </w:r>
    </w:p>
    <w:p>
      <w:pPr>
        <w:spacing w:after="0" w:line="1" w:lineRule="exact"/>
        <w:rPr>
          <w:sz w:val="20"/>
          <w:szCs w:val="20"/>
          <w:color w:val="auto"/>
        </w:rPr>
      </w:pPr>
    </w:p>
    <w:p>
      <w:pPr>
        <w:ind w:left="660" w:right="4180"/>
        <w:spacing w:after="0" w:line="243" w:lineRule="auto"/>
        <w:rPr>
          <w:sz w:val="20"/>
          <w:szCs w:val="20"/>
          <w:color w:val="auto"/>
        </w:rPr>
      </w:pPr>
      <w:r>
        <w:rPr>
          <w:rFonts w:ascii="Times New Roman" w:cs="Times New Roman" w:eastAsia="Times New Roman" w:hAnsi="Times New Roman"/>
          <w:sz w:val="18"/>
          <w:szCs w:val="18"/>
          <w:color w:val="auto"/>
        </w:rPr>
        <w:t>submitting a later-dated proxy prior to the applicable cutoff times, as described above; or attending the annual meeting and voting in person.</w:t>
      </w:r>
    </w:p>
    <w:p>
      <w:pPr>
        <w:spacing w:after="0" w:line="155"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Your attendance at the annual meeting will not, by itself, constitute a revocation of your proxy. You may also be represented by another person attending the annual meeting by executing an acceptable form of proxy designating that person to act on your behalf.</w:t>
      </w:r>
    </w:p>
    <w:p>
      <w:pPr>
        <w:spacing w:after="0" w:line="14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If your shares are held in “street name,” please contact your broker or other nominee if you would like directions on how you may change or revoke your voting instructions.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making this solicitation?</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This solicitation is made on behalf of our Board, and we will pay the costs of solicitation. Copies of proxy materials will be furnished to brokers or other nominees holding shares in their names that are beneficially owned by others so that they may forward the proxy materials to such beneficial owners upon request. We will reimburse brokers or other nominees for reasonable expenses incurred by them in sending proxy materials to our stockholders. In addition to the solicitation of proxies by mail, our directors, officers, and employees may solicit proxies by telephone, facsimile, or personal interview. No additional compensation will be paid to these individuals for any such services. We have engaged a third-party solicitor, Georgeson LLC, who may solicit proxies by telephone or by other means of communication on our behalf. The cost for this service is estimated at $25,000, including expenses. In addition, we have agreed to indemnify Georgeson LLC against certain claims, liabilities, losses, damages and expenses arising out of or in connection with these services.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the voting results?</w:t>
      </w:r>
    </w:p>
    <w:p>
      <w:pPr>
        <w:spacing w:after="0" w:line="189"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We plan to announce preliminary voting results at the meeting and will publish final results in a Current Report on Form 8-K to be filed with the SEC within four business days following the annual meeting.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189"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Stockholder proposals that are intended to be presented at our 2027 annual meeting of stockholders and included in our proxy statement relating to the 2027 annual meeting, pursuant to Rule 14a-8 promulgated under the Securities Exchange Act of 1934, as amended (the “Exchange Act”), must be received by us no later than January 6, 2027, which is 120 calendar days before the anniversary of the date on which this proxy statement was first distributed to our stockholders. If the date of the 2027 annual meeting is moved more than 30 days from the date of the 2026 annual meeting, the deadline for inclusion of proposals in our proxy statement for the 2027 annual meeting instead will be a reasonable time before we begin to print and send our proxy materials. All stockholder</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 w:name="page9"/>
    <w:bookmarkEnd w:id="8"/>
    <w:p>
      <w:pPr>
        <w:ind w:right="180"/>
        <w:spacing w:after="0" w:line="251" w:lineRule="auto"/>
        <w:rPr>
          <w:sz w:val="20"/>
          <w:szCs w:val="20"/>
          <w:color w:val="auto"/>
        </w:rPr>
      </w:pPr>
      <w:r>
        <w:rPr>
          <w:rFonts w:ascii="Times New Roman" w:cs="Times New Roman" w:eastAsia="Times New Roman" w:hAnsi="Times New Roman"/>
          <w:sz w:val="18"/>
          <w:szCs w:val="18"/>
          <w:color w:val="auto"/>
        </w:rPr>
        <w:t>proposals must be in compliance with applicable laws and regulations in order to be considered for possible inclusion in the proxy statement and form of proxy for the 2027 annual meeting.</w:t>
      </w:r>
    </w:p>
    <w:p>
      <w:pPr>
        <w:spacing w:after="0" w:line="14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If a stockholder wishes to request business be brought at our 2027 annual meeting of stockholders (other than matters included in our proxy statement in accordance with Rule 14a-8 under the Exchange Act), the stockholder must give advance notice to us prior to the deadline (the “Bylaw Deadline”) for the annual meeting determined in accordance with our Amended and Restated Bylaws (“Bylaws”) and comply with certain other requirements specified in our Bylaws. Under our Bylaws, in order to be deemed properly presented, the notice of a proposal, including nominations for the election of directors, must be delivered to our Corporate Secretary no later than March 22, 2027, which is 45 calendar days prior to the first anniversary of the date on which we mailed the proxy materials for the 2026 annual meeting.</w:t>
      </w:r>
    </w:p>
    <w:p>
      <w:pPr>
        <w:spacing w:after="0" w:line="15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However, if we change the date of the 2027 annual meeting so that it occurs more than 30 days prior to, or more than 30 days after, June 23, 2027, stockholder proposals intended for presentation at the 2027 annual meeting, but not intended to be included in our proxy statement relating to the 2027 annual meeting, must be delivered to or mailed and received by our Corporate Secretary at 233 Ayer Road, Suite 4, Harvard, Massachusetts 01451 no later</w:t>
      </w:r>
    </w:p>
    <w:p>
      <w:pPr>
        <w:spacing w:after="0" w:line="3"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 xml:space="preserve">than the close of business on the 90th calendar day prior to the 2027 annual meeting or the 20th calendar day following the day on which public disclosure of the date of the 2027 annual meeting is first made (the “Alternate Date”). We also encourage you to submit any such proposals via email to </w:t>
      </w:r>
      <w:r>
        <w:rPr>
          <w:rFonts w:ascii="Times New Roman" w:cs="Times New Roman" w:eastAsia="Times New Roman" w:hAnsi="Times New Roman"/>
          <w:sz w:val="18"/>
          <w:szCs w:val="18"/>
          <w:u w:val="single" w:color="auto"/>
          <w:color w:val="auto"/>
        </w:rPr>
        <w:t>investors@aquabounty.com</w:t>
      </w:r>
      <w:r>
        <w:rPr>
          <w:rFonts w:ascii="Times New Roman" w:cs="Times New Roman" w:eastAsia="Times New Roman" w:hAnsi="Times New Roman"/>
          <w:sz w:val="18"/>
          <w:szCs w:val="18"/>
          <w:color w:val="auto"/>
        </w:rPr>
        <w:t>. If a stockholder gives notice of such proposal after the Bylaw Deadline (or the Alternate Date, if applicable), the stockholder will not be permitted to present the proposal to the stockholders for a vote at the 2027 annual meeting. Additional requirements applicable to notices of stockholder proposals are set forth in our Bylaws. 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58" w:lineRule="exact"/>
        <w:rPr>
          <w:sz w:val="20"/>
          <w:szCs w:val="20"/>
          <w:color w:val="auto"/>
        </w:rPr>
      </w:pPr>
    </w:p>
    <w:p>
      <w:pPr>
        <w:jc w:val="both"/>
        <w:ind w:right="220"/>
        <w:spacing w:after="0" w:line="242" w:lineRule="auto"/>
        <w:rPr>
          <w:sz w:val="20"/>
          <w:szCs w:val="20"/>
          <w:color w:val="auto"/>
        </w:rPr>
      </w:pPr>
      <w:r>
        <w:rPr>
          <w:rFonts w:ascii="Times New Roman" w:cs="Times New Roman" w:eastAsia="Times New Roman" w:hAnsi="Times New Roman"/>
          <w:sz w:val="18"/>
          <w:szCs w:val="18"/>
          <w:color w:val="auto"/>
        </w:rPr>
        <w:t>We have not been notified by any stockholder that such stockholder intends to present a stockholder proposal from the floor at this annual meeting. The enclosed proxy grants the proxy holders discretionary authority to vote on any matter properly brought before the annual meeting or any adjournment or postponement thereof.</w:t>
      </w:r>
    </w:p>
    <w:p>
      <w:pPr>
        <w:spacing w:after="0" w:line="15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connection with our solicitation of proxies for our 2027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w:t>
      </w:r>
    </w:p>
    <w:p>
      <w:pPr>
        <w:spacing w:after="0" w:line="1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ANNUAL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36130" cy="295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9527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THAT STOCKHOLDERS VOTE FOR</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ELECTION OF EACH OF THE DIRECTOR NOMINEES LISTED BELOW.</w:t>
      </w:r>
    </w:p>
    <w:p>
      <w:pPr>
        <w:spacing w:after="0" w:line="19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Each director serving on our Board is elected for a one-year term to hold office until the next annual meeting of our stockholders or until his or her earlier death, disqualification, resignation or removal. The nominees named below have agreed to serve if elected, and we have no reason to believe that they will be unavailable to serve. If, however, the nominees named below are unable to serve or decline to serve at the time of the annual meeting, the proxies will be voted for any nominee who may be designated by our Board. Unless a stockholder specifies otherwise, a returned, signed proxy will be voted FOR the election of each of the nominees listed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persons nominated for re-election at the annual meeting: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0" w:type="dxa"/>
            <w:vAlign w:val="bottom"/>
          </w:tcPr>
          <w:p>
            <w:pPr>
              <w:spacing w:after="0"/>
              <w:rPr>
                <w:sz w:val="1"/>
                <w:szCs w:val="1"/>
                <w:color w:val="auto"/>
              </w:rPr>
            </w:pPr>
          </w:p>
        </w:tc>
      </w:tr>
      <w:tr>
        <w:trPr>
          <w:trHeight w:val="238"/>
        </w:trPr>
        <w:tc>
          <w:tcPr>
            <w:tcW w:w="2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5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0" w:type="dxa"/>
            <w:vAlign w:val="bottom"/>
          </w:tcPr>
          <w:p>
            <w:pPr>
              <w:spacing w:after="0"/>
              <w:rPr>
                <w:sz w:val="1"/>
                <w:szCs w:val="1"/>
                <w:color w:val="auto"/>
              </w:rPr>
            </w:pPr>
          </w:p>
        </w:tc>
      </w:tr>
      <w:tr>
        <w:trPr>
          <w:trHeight w:val="210"/>
        </w:trPr>
        <w:tc>
          <w:tcPr>
            <w:tcW w:w="234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Graydon Bensler (1)</w:t>
            </w:r>
          </w:p>
        </w:tc>
        <w:tc>
          <w:tcPr>
            <w:tcW w:w="1420" w:type="dxa"/>
            <w:vAlign w:val="bottom"/>
            <w:shd w:val="clear" w:color="auto" w:fill="DEEBF7"/>
          </w:tcPr>
          <w:p>
            <w:pPr>
              <w:jc w:val="center"/>
              <w:ind w:left="350"/>
              <w:spacing w:after="0"/>
              <w:rPr>
                <w:sz w:val="20"/>
                <w:szCs w:val="20"/>
                <w:color w:val="auto"/>
              </w:rPr>
            </w:pPr>
            <w:r>
              <w:rPr>
                <w:rFonts w:ascii="Times New Roman" w:cs="Times New Roman" w:eastAsia="Times New Roman" w:hAnsi="Times New Roman"/>
                <w:sz w:val="18"/>
                <w:szCs w:val="18"/>
                <w:color w:val="auto"/>
                <w:w w:val="99"/>
              </w:rPr>
              <w:t>34</w:t>
            </w:r>
          </w:p>
        </w:tc>
        <w:tc>
          <w:tcPr>
            <w:tcW w:w="1580" w:type="dxa"/>
            <w:vAlign w:val="bottom"/>
            <w:shd w:val="clear" w:color="auto" w:fill="DEEBF7"/>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2025</w:t>
            </w:r>
          </w:p>
        </w:tc>
        <w:tc>
          <w:tcPr>
            <w:tcW w:w="1880" w:type="dxa"/>
            <w:vAlign w:val="bottom"/>
            <w:shd w:val="clear" w:color="auto" w:fill="DEEBF7"/>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7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480" w:type="dxa"/>
            <w:vAlign w:val="bottom"/>
            <w:shd w:val="clear" w:color="auto" w:fill="DEEBF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Braeden Lichti (1)</w:t>
            </w:r>
          </w:p>
        </w:tc>
        <w:tc>
          <w:tcPr>
            <w:tcW w:w="14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41</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2025</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29"/>
        </w:trPr>
        <w:tc>
          <w:tcPr>
            <w:tcW w:w="234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Rick Sterling</w:t>
            </w:r>
          </w:p>
        </w:tc>
        <w:tc>
          <w:tcPr>
            <w:tcW w:w="1420" w:type="dxa"/>
            <w:vAlign w:val="bottom"/>
            <w:shd w:val="clear" w:color="auto" w:fill="DEEBF7"/>
          </w:tcPr>
          <w:p>
            <w:pPr>
              <w:jc w:val="center"/>
              <w:ind w:left="350"/>
              <w:spacing w:after="0"/>
              <w:rPr>
                <w:sz w:val="20"/>
                <w:szCs w:val="20"/>
                <w:color w:val="auto"/>
              </w:rPr>
            </w:pPr>
            <w:r>
              <w:rPr>
                <w:rFonts w:ascii="Times New Roman" w:cs="Times New Roman" w:eastAsia="Times New Roman" w:hAnsi="Times New Roman"/>
                <w:sz w:val="18"/>
                <w:szCs w:val="18"/>
                <w:color w:val="auto"/>
                <w:w w:val="99"/>
              </w:rPr>
              <w:t>62</w:t>
            </w:r>
          </w:p>
        </w:tc>
        <w:tc>
          <w:tcPr>
            <w:tcW w:w="1580" w:type="dxa"/>
            <w:vAlign w:val="bottom"/>
            <w:shd w:val="clear" w:color="auto" w:fill="DEEBF7"/>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2013</w:t>
            </w:r>
          </w:p>
        </w:tc>
        <w:tc>
          <w:tcPr>
            <w:tcW w:w="1880" w:type="dxa"/>
            <w:vAlign w:val="bottom"/>
            <w:shd w:val="clear" w:color="auto" w:fill="DEEBF7"/>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7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48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Sylvia A. Wulf</w:t>
            </w:r>
          </w:p>
        </w:tc>
        <w:tc>
          <w:tcPr>
            <w:tcW w:w="14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c>
          <w:tcPr>
            <w:tcW w:w="15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2019</w:t>
            </w:r>
          </w:p>
        </w:tc>
        <w:tc>
          <w:tcPr>
            <w:tcW w:w="1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Board Chair</w:t>
            </w:r>
          </w:p>
        </w:tc>
        <w:tc>
          <w:tcPr>
            <w:tcW w:w="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Bensler and Mr. Lichti joined the Board on October 28, 2025.</w:t>
      </w:r>
    </w:p>
    <w:p>
      <w:pPr>
        <w:spacing w:after="0" w:line="18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Graydon Bensler. </w:t>
      </w:r>
      <w:r>
        <w:rPr>
          <w:rFonts w:ascii="Times New Roman" w:cs="Times New Roman" w:eastAsia="Times New Roman" w:hAnsi="Times New Roman"/>
          <w:sz w:val="18"/>
          <w:szCs w:val="18"/>
          <w:color w:val="auto"/>
        </w:rPr>
        <w:t>Mr. Bensler has served as a member of the Board of Directors of AquaBounty since October 2025. He was appointed to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an arrangement with certain investors in connection with the funding of senior notes issued by the Company, as required as a condition to the note purchase agreements with such investors. Mr. Bensler has served as Non-Employee Chief Executive Officer of PMGC Holdings, Inc. (Nasdaq: ELAB) since June 2024, and as Non-Employee Chief Financial Officer and independent director of PMGC Holdings since June 2020. Mr. Bensler has served as a director of Redwood AI Corp. (CSE: AIRX) since February 2026 and previously served as an independent director of Qualigen Therapeutics, Inc. (Nasdaq: QLGN) from October 2024 to November 2025 and as a director of Onco Innovations Inc. (CSE: ONCO) from July 2024 to October 2025. He is a CFA® charter holder with over nine years of experience in financial consulting and management for private businesses and U.S. and Canadian publicly traded companies. He is the founder and sole owner of GB Capital Ltd., a privately held company engaged in capital markets advisory, financial consulting, and management since 2019. From 2019 to 2021, Mr. Bensler served as a Senior Associate at Evans &amp; Evans, Inc., a Canadian boutique investment banking firm, where he led valuations and going-public transactions. From 2017 to 2019, he served as an account manager at a leading Canadian investor relations firm, where he represented publicly traded companies and guided several through multiple financings. Mr. Bensler received his Bachelor of Management and Organizational Studies degree from the University of Western Ontario, with a specialization in Finance. We believe that Mr. Bensler's experience as chief executive officer and chief financial officer of a Nasdaq-listed holding company, his service on the boards of multiple Nasdaq-and CSE-listed companies spanning biotechnology, artificial intelligence, and life sciences, and his background in capital markets advisory, valuations, and public company transactions make him well qualified to serve as a director of our Company.</w:t>
      </w:r>
    </w:p>
    <w:p>
      <w:pPr>
        <w:spacing w:after="0" w:line="155"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i w:val="1"/>
          <w:iCs w:val="1"/>
          <w:color w:val="auto"/>
        </w:rPr>
        <w:t>Braeden Lichti</w:t>
      </w:r>
      <w:r>
        <w:rPr>
          <w:rFonts w:ascii="Times New Roman" w:cs="Times New Roman" w:eastAsia="Times New Roman" w:hAnsi="Times New Roman"/>
          <w:sz w:val="18"/>
          <w:szCs w:val="18"/>
          <w:color w:val="auto"/>
        </w:rPr>
        <w:t>. Mr. Lichti has served as a member of the Board of Directors of AquaBounty since October 2025. He was appointed to the Board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arrangement with certain investors in connection with the funding of senior notes issued by the Company, as required as a condition to the note purchase agreements with such investors. Mr. Lichti has served as Chief Executive Officer of BWL Investments Ltd., a privately held investment and holding company, since its founding in 2016 and he is also the Founder and Chief Executive Officer of NorthStrive Companies, Inc., a U.S.-based investment and advisory firm, since 2021, and has served as Chairman since 2024. From June 21, 2024 to present, Mr. Lichti has served as Non-Executive Chairman of the Board of Directors of PMGC Holdings Inc. (formerly Elevai Labs, Inc.) (NASDAQ:ELAB). Mr. Lichti, together with his organization NorthStrive, led the restructuring and repositioning of Elevai Labs into PMGC Holdings, a diversified public holding company focused on acquiring and scaling operating businesses. From October 8, 2024 to November 17, 2025, Mr. Lichti served as a member of the Board of Directors of Qualigen Therapeutics, Inc. (NASDAQ:QLGN). During his tenure, the Company completed a $41 million private investment in public equity (PIPE) financing led by Faraday Future Intelligent Electric Inc. (NASDAQ:FFAI), resulting in a change of control, board reconstitution, and a strategic transformation of the business toward a new operating model.</w:t>
      </w:r>
    </w:p>
    <w:p>
      <w:pPr>
        <w:spacing w:after="0" w:line="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ind w:right="140"/>
        <w:spacing w:after="0" w:line="233" w:lineRule="auto"/>
        <w:rPr>
          <w:sz w:val="20"/>
          <w:szCs w:val="20"/>
          <w:color w:val="auto"/>
        </w:rPr>
      </w:pPr>
      <w:r>
        <w:rPr>
          <w:rFonts w:ascii="Times New Roman" w:cs="Times New Roman" w:eastAsia="Times New Roman" w:hAnsi="Times New Roman"/>
          <w:sz w:val="18"/>
          <w:szCs w:val="18"/>
          <w:color w:val="auto"/>
        </w:rPr>
        <w:t>Mr. Lichti has also been involved with Hydromer, Inc. (OTC:HYDI), where his company, NorthStrive, was an advisor and significant shareholder. During this period, the company secured a strategic investment from jMedtech, a global medical device company, resulting in a change of control, board reconstitution, and the establishment of an expanded international platform within the medical device coatings industry. Mr. Lichti has over a decade of experience in public markets, mergers and acquisitions, capital formation, and corporate restructuring. He has been directly involved in multiple public company transactions, including initial public offerings, reverse mergers, recapitalizations, and strategic investments. Mr. Lichti’s experience in driving corporate transformation, capital markets execution, and shareholder value creation makes him well qualified to serve on the Board of Directors</w:t>
      </w:r>
    </w:p>
    <w:p>
      <w:pPr>
        <w:spacing w:after="0" w:line="156"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i w:val="1"/>
          <w:iCs w:val="1"/>
          <w:color w:val="auto"/>
        </w:rPr>
        <w:t>Rick Sterling</w:t>
      </w:r>
      <w:r>
        <w:rPr>
          <w:rFonts w:ascii="Times New Roman" w:cs="Times New Roman" w:eastAsia="Times New Roman" w:hAnsi="Times New Roman"/>
          <w:sz w:val="18"/>
          <w:szCs w:val="18"/>
          <w:color w:val="auto"/>
        </w:rPr>
        <w:t>. Mr. Sterling has served on the Board of AquaBounty since September 2013. He served as the Chief Financial Officer at Precigen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(NASDAQ:PGEN) (“Precigen”) from 2007 through March 2021, including leading them through their initial public offering in 2013. During his term at Precigen, Mr. Sterling was responsible for multiple private and public equity and debt capital raises, financial diligence for and integration of over a dozen acquisitions, SEC reporting and compliance, divestitures of businesses, budgeting, and negotiations of facility leases as well as oversight of human resource and information technology functions. Prior to joining Precigen, he was with KPMG where he worked in the audit practice for over 17 years, with a client base primarily in the healthcare, technology and manufacturing industries. He has a Bachelor of Science in Accounting from Virginia Tech and is a licensed Certified Public Accountant. Mr. Sterling’s background in audit and finance, as well as his experience with technology companies, make him well suited for service on our Board.</w:t>
      </w:r>
    </w:p>
    <w:p>
      <w:pPr>
        <w:spacing w:after="0" w:line="16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i w:val="1"/>
          <w:iCs w:val="1"/>
          <w:color w:val="auto"/>
        </w:rPr>
        <w:t>Sylvia Wulf</w:t>
      </w:r>
      <w:r>
        <w:rPr>
          <w:rFonts w:ascii="Times New Roman" w:cs="Times New Roman" w:eastAsia="Times New Roman" w:hAnsi="Times New Roman"/>
          <w:sz w:val="18"/>
          <w:szCs w:val="18"/>
          <w:color w:val="auto"/>
        </w:rPr>
        <w:t>. Ms. Wulf was elected Chair of the Board of AquaBounty in 2023. She was Executive Director, President, and CEO of AquaBounty from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2023. In 2023 she relinquished her position as President but remained as CEO until 2024. She was the Interim Head, Agriculture and Environment at the Biotechnology Innovation Organization. Prior to joining AquaBounty, Ms. Wulf served as a Senior Vice President of US Foods, Inc. (NYSE:USFD), where she had been President of the Manufacturing Division since June 2011. Prior to US Foods, Ms. Wulf held senior positions in Tyson Foods, Inc. (NYSE:TSN), Sara Lee Corporation, and Bunge Corp (NYSE:BG). She is also currently on the Board of Directors and the Executive Committee of both the National Fisheries Institute and the Biotechnology Innovation Organization. Ms. Wulf received a Bachelor of Science in Finance from Western Illinois University and a Master of Business Administration from DePaul University. Ms. Wulf provides extensive experience in the food industry in North America, including its fish sector to our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who are not members of our Board and sets forth their current positions with us.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6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34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0"/>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A. Frank</w:t>
            </w:r>
          </w:p>
        </w:tc>
        <w:tc>
          <w:tcPr>
            <w:tcW w:w="23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65</w:t>
            </w:r>
          </w:p>
        </w:tc>
        <w:tc>
          <w:tcPr>
            <w:tcW w:w="26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2007</w:t>
            </w:r>
          </w:p>
        </w:tc>
        <w:tc>
          <w:tcPr>
            <w:tcW w:w="34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Interim CEO, CFO and Treasurer</w:t>
            </w:r>
          </w:p>
        </w:tc>
      </w:tr>
    </w:tbl>
    <w:p>
      <w:pPr>
        <w:spacing w:after="0" w:line="169"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i w:val="1"/>
          <w:iCs w:val="1"/>
          <w:color w:val="auto"/>
        </w:rPr>
        <w:t>David A. Frank</w:t>
      </w:r>
      <w:r>
        <w:rPr>
          <w:rFonts w:ascii="Times New Roman" w:cs="Times New Roman" w:eastAsia="Times New Roman" w:hAnsi="Times New Roman"/>
          <w:sz w:val="18"/>
          <w:szCs w:val="18"/>
          <w:color w:val="auto"/>
        </w:rPr>
        <w:t>. Mr. Frank was appointed Interim Chief Executive Officer of AquaBounty on December 6, 2024, while retaining his positions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Treasurer of AquaBounty since October 2007. Prior to joining AquaBounty, he served as Chief Financial Officer of Magellan Biosciences and President of TekCel between 2003 and 2007.</w:t>
      </w:r>
    </w:p>
    <w:p>
      <w:pPr>
        <w:spacing w:after="0" w:line="158"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Our executive officers are elected by our Board and hold office until removed by the Board, or until their successors have been duly elected and qualified or their earlier resignation, retirement, removal, or death. 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they were or are to be selected as an executive officer. There are no material legal proceedings to which any of our executive officers or any associate of any such executive officer is a party adverse to us or any of our subsidiaries or in which any such person has a material interest adverse to us or any of our subsidiaries.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w:t>
      </w:r>
    </w:p>
    <w:p>
      <w:pPr>
        <w:spacing w:after="0" w:line="21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are committed to having sound corporate governance principles. Having such principles is essential to maintaining our integrity in the marketplace. Our Code of Business Conduct and Ethics and the charters for each of the Audit, Compensation and Human Capital, and Nominating and Corporate Governance Committees are available on the investor relations section of our corporate website (www.aquabounty.com). A copy of our Code of Business Conduct and Ethics and the committee charters may also be obtained upon request to Corporate Secretary, AquaBounty Technologies, Inc., 233 Ayer Road, Suite 4, Harvard, Massachusetts 01451.</w:t>
      </w:r>
    </w:p>
    <w:p>
      <w:pPr>
        <w:spacing w:after="0" w:line="1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Our Board has adopted the Code of Business Conduct and Ethics that applies to all of our employees, officers and directors, including, but not limited to, our Chief Executive Officer and Chief Financial Officer and other executive and senior financial officers. The Code of Business Conduct and Ethics constitutes our “code of ethics” within the meaning of Section 406 of the Sarbanes-Oxley Act and is our “code of conduct” within the meaning of the listing standards of Nasdaq. Our Code of Business Conduct and Ethics is posted to our website, and we intend to disclose any amendment or waiver of a provision thereof that applies to our principal executive officer, principal financial officer, principal accounting officer or controller, or persons performing similar functions, by posting such information on our website (available at www.aquabounty.com) and/or in our public filings with the SEC. During fiscal year ended December 31, 2025, no waivers were granted from any provision of the Code of Business Conduct and Ethics.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Our Common Stock</w:t>
      </w:r>
    </w:p>
    <w:p>
      <w:pPr>
        <w:spacing w:after="0" w:line="189"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We have adopted an insider trading policy that governs the purchase, sale, and/or other dispositions of our securities by directors, officers and employees that is reasonably designed to promote compliance with insider trading laws, rules and regulations and NASDAQ listing standards. The Company also follows policies and procedures governing transactions in its own securities that are reasonably designed to promote compliance with applicable insider trading laws and Nasdaq listing standards. Our insider trading policy expressly prohibits short sales and derivative transactions of our stock by our employees, officers and directors, including hedging and the purchase or sale of puts, calls, or other derivative securities of the Company or any derivative securities that provide the economic equivalent of ownership. To our knowledge, each of our directors and executive officers complied with this policy during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18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Stockholders may communicate with our directors by sending communications to the attention of the Chair of the Board, the Chair of a committee of the Board, or an individual director via U.S. Mail or Expedited Delivery Services to our address at AquaBounty Technologies, Inc., 233 Ayer Road, Suite 4, Harvard, Massachusetts 01451. The Company will forward by U.S. Mail any such communication to the mailing address most recently provided by the Board member identified in the “Attention” line of the communication. All communications must be accompanied by the following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statement of the type and amount of the securities of the Company that the submitting individual holds, if any;</w:t>
      </w:r>
    </w:p>
    <w:p>
      <w:pPr>
        <w:spacing w:after="0" w:line="2" w:lineRule="exact"/>
        <w:rPr>
          <w:sz w:val="20"/>
          <w:szCs w:val="20"/>
          <w:color w:val="auto"/>
        </w:rPr>
      </w:pPr>
    </w:p>
    <w:p>
      <w:pPr>
        <w:ind w:left="520" w:right="400"/>
        <w:spacing w:after="0" w:line="243" w:lineRule="auto"/>
        <w:rPr>
          <w:sz w:val="20"/>
          <w:szCs w:val="20"/>
          <w:color w:val="auto"/>
        </w:rPr>
      </w:pPr>
      <w:r>
        <w:rPr>
          <w:rFonts w:ascii="Times New Roman" w:cs="Times New Roman" w:eastAsia="Times New Roman" w:hAnsi="Times New Roman"/>
          <w:sz w:val="18"/>
          <w:szCs w:val="18"/>
          <w:color w:val="auto"/>
        </w:rPr>
        <w:t>Any special interest, other than in the capacity of security holder, of the submitting individual in the subject matter of the communication; and The address, telephone number, and email address of the submitting individual.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Each director serving on our Board is elected for a one-year term to hold office until the next annual meeting of our stockholders until the election and qualification of his or her successor, subject to his or her earlier death, disqualification, resignation or removal. The authorized number of directors may be changed by resolution of the Board. The Board has the power to appoint any person as a director to fill a vacancy on the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required by the Nasdaq listing rules, our Board evaluates the independence of its members at least once annually and at other appropriate times when a change in circumstances could potentially impact the independence or effectiveness of one of our directors.</w:t>
      </w:r>
    </w:p>
    <w:p>
      <w:pPr>
        <w:spacing w:after="0" w:line="14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January 2026, our Board undertook a review of the composition of our Board and its committees and the independence of each director. Based upon information requested from and provided by each director concerning his or her background, employment, and affiliations, including family relationships, our Board has determined each of Messrs. Bensler, Lichti and Sterling is an “independent director” as defined under Nasdaq Listing Rule 5605(a)(2).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understands that board structures vary greatly among U.S. public corporations, and our Board does not believe that any one leadership structure is more effective at creating long-term stockholder value. Our Board believes that an effective leadership structure</w:t>
      </w:r>
    </w:p>
    <w:p>
      <w:pPr>
        <w:ind w:left="586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2" w:name="page13"/>
    <w:bookmarkEnd w:id="12"/>
    <w:p>
      <w:pPr>
        <w:ind w:right="240"/>
        <w:spacing w:after="0" w:line="236" w:lineRule="auto"/>
        <w:rPr>
          <w:sz w:val="20"/>
          <w:szCs w:val="20"/>
          <w:color w:val="auto"/>
        </w:rPr>
      </w:pPr>
      <w:r>
        <w:rPr>
          <w:rFonts w:ascii="Times New Roman" w:cs="Times New Roman" w:eastAsia="Times New Roman" w:hAnsi="Times New Roman"/>
          <w:sz w:val="18"/>
          <w:szCs w:val="18"/>
          <w:color w:val="auto"/>
        </w:rPr>
        <w:t>could be achieved either by combining or separating the Board Chair and Chief Executive Officer positions, so long as the structure encourages the free and open dialogue of competing views and provides for strong checks and balances. Specifically, the Board believes that, to be effective, the governance structure must balance the powers of the Chief Executive Officer and the independent directors and ensure that the independent directors are fully informed, able to discuss and debate the issues that they deem important, and able to provide effective oversight of management.</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Currently, our Board separates the roles of Chief Executive Officer and Board Chair. Our Board believes that this leadership structure is appropriate for the Company at this time because it allows the Chief Executive Officer to focus on the day-to-day operations of the Company. At the same time, the Board Chair can focus on corporate strategy and leadership of the Board. We believe this structure is appropriate given the size of our executive officer team and our current financial condition.</w:t>
      </w:r>
    </w:p>
    <w:p>
      <w:pPr>
        <w:spacing w:after="0" w:line="15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Nevertheless, the Board believes that “one size” does not fit all, and the decision of whether to combine or separate the positions of Chief Executive Officer and Board Chair will vary and depend upon our particular circumstances at a given point in time, taking into consideration the depth and breadth of the executive officer team and the composition of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Our Board is actively engaged in the oversight of the risks we face and consideration of the appropriate responses to those risks. However, our Board delegates certain of such responsibilities to its committees. The Audit Committee is responsible for reviewing with management our Company’s policies and procedures with respect to risk assessment and risk management, including reviewing certain risks associated with our financial and accounting systems, accounting policies, investment strategies, regulatory compliance, insurance programs, and other matters. The Audit Committee also reviews and comments on a periodic risk assessment performed by management. After the Audit Committee performs its review and comment function, it reports any significant findings to our Board. The Board is responsible for the oversight of our risk management programs and, in performing this function, receives periodic risk assessment and mitigation initiatives for information and approval as necessary. The Compensation and Human Capital Committee also reviews certain risks associated with our overall compensation program for employees to help ensure that the program does not encourage employees to take excessive risks.</w:t>
      </w:r>
    </w:p>
    <w:p>
      <w:pPr>
        <w:spacing w:after="0" w:line="15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Currently, our management team conducts an annual risk assessment that is led by our Chief Financial Officer and provided to our Board as part of their oversight responsibility. Identified risks, along with mitigation plans are reviewed with our outside advisors and reported to our Board on an annual basis with quarterly updates.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89"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During 2025, our Board met 7 times, and each director attended or participated in 75% or more of the aggregate of (i) the total number of meetings of the Board and (ii) the total number of meetings held by all committees of the Board on which such director served. Members of the Board and its committees also consulted informally with management from time to time. Additionally, non-management Board members met in executive sessions without the presence of management periodically during 2025. We do not have a formal policy regarding board members’ attendance at our annual meetings of stockholders but encourage them to do so. Our 2025 annual meeting of stockholders was attended by one member of our Board.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Board has three standing committees: the Audit Committee (“AC”), the Compensation and Human Capital Committee (“CHCC”), and the Nominating and Corporate Governance Committee (“NCGC”), each of which operate pursuant to a written charter adopted by our Board that is available on our corporate website (www.aquabounty.com) under “Investor Relations.”</w:t>
      </w:r>
    </w:p>
    <w:p>
      <w:pPr>
        <w:spacing w:after="0" w:line="155" w:lineRule="exact"/>
        <w:rPr>
          <w:sz w:val="20"/>
          <w:szCs w:val="20"/>
          <w:color w:val="auto"/>
        </w:rPr>
      </w:pPr>
    </w:p>
    <w:p>
      <w:pPr>
        <w:ind w:right="120" w:firstLine="648"/>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Messrs. Bensler, Lichti and Sterling serve as members of our AC, and Mr. Sterling serves as its chair. Each member of the AC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satisfies the special independence standards for such committee established by the SEC and Nasdaq, as applicable. Mr. Sterling is an “audit committee financial expert,” as that term is defined by the SEC in Item 407(d) of Regulation S-K. Stockholders should understand that this designation is an SEC disclosure requirement relating to Mr. Sterling’s experience and understanding of certain accounting and auditing matters, which the SEC has stated does not impose on the director so designated any additional duty, obligation, or liability than otherwise is imposed generally by virtue of serving on the AC and/or our Board. No AC member is permitted to serve on the audit committee of more than two other public companies, unless the Board determines that such simultaneous service would not impair the ability of the AC member to effectively serve on our AC. Our AC is responsible for, among other things, oversight of our independent auditors and the integrity of our financial statements. Our AC held five meetings in 2025.</w:t>
      </w:r>
    </w:p>
    <w:p>
      <w:pPr>
        <w:spacing w:after="0" w:line="154"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Compensation and Human Capital Committee</w:t>
      </w:r>
      <w:r>
        <w:rPr>
          <w:rFonts w:ascii="Times New Roman" w:cs="Times New Roman" w:eastAsia="Times New Roman" w:hAnsi="Times New Roman"/>
          <w:sz w:val="18"/>
          <w:szCs w:val="18"/>
          <w:color w:val="auto"/>
        </w:rPr>
        <w:t>. Messrs. Bensler, Lichti and Sterling serve as members of our CHCC, and Mr. Bensler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chair. Our CHCC is responsible for, among other things, establishing and administering our policies,</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right="20"/>
        <w:spacing w:after="0" w:line="238" w:lineRule="auto"/>
        <w:rPr>
          <w:sz w:val="20"/>
          <w:szCs w:val="20"/>
          <w:color w:val="auto"/>
        </w:rPr>
      </w:pPr>
      <w:r>
        <w:rPr>
          <w:rFonts w:ascii="Times New Roman" w:cs="Times New Roman" w:eastAsia="Times New Roman" w:hAnsi="Times New Roman"/>
          <w:sz w:val="18"/>
          <w:szCs w:val="18"/>
          <w:color w:val="auto"/>
        </w:rPr>
        <w:t>programs, and procedures for compensating our executive officers and Board. The CHCC may only delegate its authority to subcommittees of its members. None of the members of our CHCC is an officer or employee of our Company. None of our executive officers currently serves, or in the past year has</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8"/>
          <w:szCs w:val="18"/>
          <w:color w:val="auto"/>
        </w:rPr>
        <w:t>served, as a member of the board of directors or compensation committee of any entity that has one or more executive officers serving on our Board or CHCC. Our CHCC held three meetings in 2025.</w:t>
      </w:r>
    </w:p>
    <w:p>
      <w:pPr>
        <w:spacing w:after="0" w:line="15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Messrs. Lichti and Sterling serve as members of our NCGC and Mr. Lichti serves as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Our NCGC is responsible for, among other things, evaluating new director candidates and incumbent directors and recommending directors to serve as members of our Board committees. Our NCGC held four meetings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75"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Our Board believes that the Board should be composed of individuals with varied, complementary backgrounds who have exhibited proven leadership capabilities within their chosen fields. Directors should have the ability to quickly grasp complex principles of business and finance, particularly those related to our industry. Directors should possess the highest personal and professional ethics, integrity, and values and should be committed to representing the long-term interests of our stockholders. When considering a candidate for director, the NCGC will take into account a number of factors, including, without limitation, the following: depth of understanding of our industry; education and professional background; judgment, skill, integrity, and reputation; existing commitments to other businesses as a director, executive, or owner; personal conflicts of interest, if any; diversity; and the size and composition of the existing Board. Although the Board does not have a policy with respect to consideration of diversity in identifying director nominees, among the many other factors considered by the NCGC are the benefits of diversity in Board composition, including with respect to age, gender, race, and specialized background. When seeking candidates for director, the NCGC may solicit suggestions from incumbent directors, management, stockholders, and others. Additionally, the NCGC may use the services of third-party search firms to assist in the identification of appropriate candidates. During 2025, no director search fees were incurred. The NCGC will also evaluate the qualifications of all candidates properly nominated by stockholders, in the same manner and using the same criteria. A stockholder desiring to nominate a person for election to the Board must comply with the stock holding and advance notice procedures of our Bylaws, as described in the proxy statement under the heading “Stockholder Proposals for 2027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believe that the compensation we provide to our Board is both competitive and in line with that provided to boards of directors of similar companies in our industry. From time to time, the Board will conduct a market assessment of director compensation.</w:t>
      </w:r>
    </w:p>
    <w:p>
      <w:pPr>
        <w:spacing w:after="0" w:line="149"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For fiscal year 2024, all compensation for the second, third and fourth quarters was delayed until 2025, in order to preserve available cash. For fiscal year 2025, all non-employee directors received a cash retainer of $40,000. The Chair of the AC received an additional $25,000, the Chair of the CHCC and the Chair of the NCGC each received an additional $15,000, and committee members received $5,000 for each committee served. All payments are prorated for actual time of service on the Board. There were no annual grants of options to purchase shares of our Common Stock and no grants of restricted share units for our non-executive directors during 2025.</w:t>
      </w:r>
    </w:p>
    <w:p>
      <w:pPr>
        <w:spacing w:after="0" w:line="16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following table discloses all compensation provided to the non-employee directors for the most recently completed fiscal year ended December 31,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Director Summary Compensation Table</w:t>
            </w:r>
          </w:p>
        </w:tc>
        <w:tc>
          <w:tcPr>
            <w:tcW w:w="640" w:type="dxa"/>
            <w:vAlign w:val="bottom"/>
          </w:tcPr>
          <w:p>
            <w:pPr>
              <w:spacing w:after="0"/>
              <w:rPr>
                <w:sz w:val="20"/>
                <w:szCs w:val="20"/>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8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2024 Fees</w:t>
            </w:r>
          </w:p>
        </w:tc>
        <w:tc>
          <w:tcPr>
            <w:tcW w:w="480" w:type="dxa"/>
            <w:vAlign w:val="bottom"/>
          </w:tcPr>
          <w:p>
            <w:pPr>
              <w:spacing w:after="0"/>
              <w:rPr>
                <w:sz w:val="20"/>
                <w:szCs w:val="20"/>
                <w:color w:val="auto"/>
              </w:rPr>
            </w:pPr>
          </w:p>
        </w:tc>
        <w:tc>
          <w:tcPr>
            <w:tcW w:w="14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2025 Fees</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2025</w:t>
            </w:r>
          </w:p>
        </w:tc>
        <w:tc>
          <w:tcPr>
            <w:tcW w:w="19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paid in 2025</w:t>
            </w:r>
          </w:p>
        </w:tc>
        <w:tc>
          <w:tcPr>
            <w:tcW w:w="440" w:type="dxa"/>
            <w:vAlign w:val="bottom"/>
          </w:tcPr>
          <w:p>
            <w:pPr>
              <w:spacing w:after="0"/>
              <w:rPr>
                <w:sz w:val="19"/>
                <w:szCs w:val="19"/>
                <w:color w:val="auto"/>
              </w:rPr>
            </w:pPr>
          </w:p>
        </w:tc>
        <w:tc>
          <w:tcPr>
            <w:tcW w:w="14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25"/>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0" w:type="dxa"/>
            <w:vAlign w:val="bottom"/>
          </w:tcPr>
          <w:p>
            <w:pPr>
              <w:spacing w:after="0"/>
              <w:rPr>
                <w:sz w:val="1"/>
                <w:szCs w:val="1"/>
                <w:color w:val="auto"/>
              </w:rPr>
            </w:pPr>
          </w:p>
        </w:tc>
      </w:tr>
      <w:tr>
        <w:trPr>
          <w:trHeight w:val="210"/>
        </w:trPr>
        <w:tc>
          <w:tcPr>
            <w:tcW w:w="2080" w:type="dxa"/>
            <w:vAlign w:val="bottom"/>
            <w:shd w:val="clear" w:color="auto" w:fill="DEEBF7"/>
          </w:tcPr>
          <w:p>
            <w:pPr>
              <w:ind w:left="20"/>
              <w:spacing w:after="0"/>
              <w:rPr>
                <w:sz w:val="20"/>
                <w:szCs w:val="20"/>
                <w:color w:val="auto"/>
              </w:rPr>
            </w:pPr>
            <w:r>
              <w:rPr>
                <w:rFonts w:ascii="Times New Roman" w:cs="Times New Roman" w:eastAsia="Times New Roman" w:hAnsi="Times New Roman"/>
                <w:sz w:val="18"/>
                <w:szCs w:val="18"/>
                <w:color w:val="auto"/>
              </w:rPr>
              <w:t>Ricardo J. Alvarez (1)</w:t>
            </w:r>
          </w:p>
        </w:tc>
        <w:tc>
          <w:tcPr>
            <w:tcW w:w="56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DEEBF7"/>
          </w:tcPr>
          <w:p>
            <w:pPr>
              <w:jc w:val="right"/>
              <w:ind w:right="30"/>
              <w:spacing w:after="0"/>
              <w:rPr>
                <w:sz w:val="20"/>
                <w:szCs w:val="20"/>
                <w:color w:val="auto"/>
              </w:rPr>
            </w:pPr>
            <w:r>
              <w:rPr>
                <w:rFonts w:ascii="Times New Roman" w:cs="Times New Roman" w:eastAsia="Times New Roman" w:hAnsi="Times New Roman"/>
                <w:sz w:val="18"/>
                <w:szCs w:val="18"/>
                <w:color w:val="auto"/>
              </w:rPr>
              <w:t>37,500</w:t>
            </w:r>
          </w:p>
        </w:tc>
        <w:tc>
          <w:tcPr>
            <w:tcW w:w="48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53,125</w:t>
            </w:r>
          </w:p>
        </w:tc>
        <w:tc>
          <w:tcPr>
            <w:tcW w:w="440" w:type="dxa"/>
            <w:vAlign w:val="bottom"/>
            <w:shd w:val="clear" w:color="auto" w:fill="DEEBF7"/>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EEBF7"/>
          </w:tcPr>
          <w:p>
            <w:pPr>
              <w:jc w:val="right"/>
              <w:ind w:right="230"/>
              <w:spacing w:after="0"/>
              <w:rPr>
                <w:sz w:val="20"/>
                <w:szCs w:val="20"/>
                <w:color w:val="auto"/>
              </w:rPr>
            </w:pPr>
            <w:r>
              <w:rPr>
                <w:rFonts w:ascii="Times New Roman" w:cs="Times New Roman" w:eastAsia="Times New Roman" w:hAnsi="Times New Roman"/>
                <w:sz w:val="18"/>
                <w:szCs w:val="18"/>
                <w:color w:val="auto"/>
              </w:rPr>
              <w:t>90,625</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Graydon Bensler (3)</w:t>
            </w:r>
          </w:p>
        </w:tc>
        <w:tc>
          <w:tcPr>
            <w:tcW w:w="5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8,333</w:t>
            </w:r>
          </w:p>
        </w:tc>
        <w:tc>
          <w:tcPr>
            <w:tcW w:w="44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8,333</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Braeden Lichti (3)</w:t>
            </w:r>
          </w:p>
        </w:tc>
        <w:tc>
          <w:tcPr>
            <w:tcW w:w="560" w:type="dxa"/>
            <w:vAlign w:val="bottom"/>
            <w:shd w:val="clear" w:color="auto" w:fill="DEEBF7"/>
          </w:tcPr>
          <w:p>
            <w:pPr>
              <w:spacing w:after="0"/>
              <w:rPr>
                <w:sz w:val="19"/>
                <w:szCs w:val="19"/>
                <w:color w:val="auto"/>
              </w:rPr>
            </w:pPr>
          </w:p>
        </w:tc>
        <w:tc>
          <w:tcPr>
            <w:tcW w:w="136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DEEBF7"/>
          </w:tcPr>
          <w:p>
            <w:pPr>
              <w:spacing w:after="0"/>
              <w:rPr>
                <w:sz w:val="19"/>
                <w:szCs w:val="19"/>
                <w:color w:val="auto"/>
              </w:rPr>
            </w:pPr>
          </w:p>
        </w:tc>
        <w:tc>
          <w:tcPr>
            <w:tcW w:w="1480" w:type="dxa"/>
            <w:vAlign w:val="bottom"/>
            <w:shd w:val="clear" w:color="auto" w:fill="DEEBF7"/>
          </w:tcPr>
          <w:p>
            <w:pPr>
              <w:jc w:val="right"/>
              <w:ind w:right="130"/>
              <w:spacing w:after="0"/>
              <w:rPr>
                <w:sz w:val="20"/>
                <w:szCs w:val="20"/>
                <w:color w:val="auto"/>
              </w:rPr>
            </w:pPr>
            <w:r>
              <w:rPr>
                <w:rFonts w:ascii="Times New Roman" w:cs="Times New Roman" w:eastAsia="Times New Roman" w:hAnsi="Times New Roman"/>
                <w:sz w:val="18"/>
                <w:szCs w:val="18"/>
                <w:color w:val="auto"/>
              </w:rPr>
              <w:t>8,333</w:t>
            </w:r>
          </w:p>
        </w:tc>
        <w:tc>
          <w:tcPr>
            <w:tcW w:w="440" w:type="dxa"/>
            <w:vAlign w:val="bottom"/>
            <w:shd w:val="clear" w:color="auto" w:fill="DEEBF7"/>
          </w:tcPr>
          <w:p>
            <w:pPr>
              <w:spacing w:after="0"/>
              <w:rPr>
                <w:sz w:val="19"/>
                <w:szCs w:val="19"/>
                <w:color w:val="auto"/>
              </w:rPr>
            </w:pP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8,333</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Erin Sharp (1)</w:t>
            </w:r>
          </w:p>
        </w:tc>
        <w:tc>
          <w:tcPr>
            <w:tcW w:w="5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4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31,875</w:t>
            </w:r>
          </w:p>
        </w:tc>
        <w:tc>
          <w:tcPr>
            <w:tcW w:w="44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54,375</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Gail Sharps Myers (2)</w:t>
            </w:r>
          </w:p>
        </w:tc>
        <w:tc>
          <w:tcPr>
            <w:tcW w:w="560" w:type="dxa"/>
            <w:vAlign w:val="bottom"/>
            <w:shd w:val="clear" w:color="auto" w:fill="DEEBF7"/>
          </w:tcPr>
          <w:p>
            <w:pPr>
              <w:spacing w:after="0"/>
              <w:rPr>
                <w:sz w:val="19"/>
                <w:szCs w:val="19"/>
                <w:color w:val="auto"/>
              </w:rPr>
            </w:pPr>
          </w:p>
        </w:tc>
        <w:tc>
          <w:tcPr>
            <w:tcW w:w="136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480" w:type="dxa"/>
            <w:vAlign w:val="bottom"/>
            <w:shd w:val="clear" w:color="auto" w:fill="DEEBF7"/>
          </w:tcPr>
          <w:p>
            <w:pPr>
              <w:spacing w:after="0"/>
              <w:rPr>
                <w:sz w:val="19"/>
                <w:szCs w:val="19"/>
                <w:color w:val="auto"/>
              </w:rPr>
            </w:pPr>
          </w:p>
        </w:tc>
        <w:tc>
          <w:tcPr>
            <w:tcW w:w="1480" w:type="dxa"/>
            <w:vAlign w:val="bottom"/>
            <w:shd w:val="clear" w:color="auto" w:fill="DEEBF7"/>
          </w:tcPr>
          <w:p>
            <w:pPr>
              <w:jc w:val="right"/>
              <w:ind w:right="130"/>
              <w:spacing w:after="0"/>
              <w:rPr>
                <w:sz w:val="20"/>
                <w:szCs w:val="20"/>
                <w:color w:val="auto"/>
              </w:rPr>
            </w:pPr>
            <w:r>
              <w:rPr>
                <w:rFonts w:ascii="Times New Roman" w:cs="Times New Roman" w:eastAsia="Times New Roman" w:hAnsi="Times New Roman"/>
                <w:sz w:val="18"/>
                <w:szCs w:val="18"/>
                <w:color w:val="auto"/>
              </w:rPr>
              <w:t>66,667</w:t>
            </w:r>
          </w:p>
        </w:tc>
        <w:tc>
          <w:tcPr>
            <w:tcW w:w="440" w:type="dxa"/>
            <w:vAlign w:val="bottom"/>
            <w:shd w:val="clear" w:color="auto" w:fill="DEEBF7"/>
          </w:tcPr>
          <w:p>
            <w:pPr>
              <w:spacing w:after="0"/>
              <w:rPr>
                <w:sz w:val="19"/>
                <w:szCs w:val="19"/>
                <w:color w:val="auto"/>
              </w:rPr>
            </w:pP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96,667</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Christine St.Clare (2)</w:t>
            </w:r>
          </w:p>
        </w:tc>
        <w:tc>
          <w:tcPr>
            <w:tcW w:w="5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c>
          <w:tcPr>
            <w:tcW w:w="4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74,167</w:t>
            </w:r>
          </w:p>
        </w:tc>
        <w:tc>
          <w:tcPr>
            <w:tcW w:w="44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109,167</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Rick Sterling (4)</w:t>
            </w:r>
          </w:p>
        </w:tc>
        <w:tc>
          <w:tcPr>
            <w:tcW w:w="560" w:type="dxa"/>
            <w:vAlign w:val="bottom"/>
            <w:shd w:val="clear" w:color="auto" w:fill="DEEBF7"/>
          </w:tcPr>
          <w:p>
            <w:pPr>
              <w:spacing w:after="0"/>
              <w:rPr>
                <w:sz w:val="19"/>
                <w:szCs w:val="19"/>
                <w:color w:val="auto"/>
              </w:rPr>
            </w:pPr>
          </w:p>
        </w:tc>
        <w:tc>
          <w:tcPr>
            <w:tcW w:w="136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480" w:type="dxa"/>
            <w:vAlign w:val="bottom"/>
            <w:shd w:val="clear" w:color="auto" w:fill="DEEBF7"/>
          </w:tcPr>
          <w:p>
            <w:pPr>
              <w:spacing w:after="0"/>
              <w:rPr>
                <w:sz w:val="19"/>
                <w:szCs w:val="19"/>
                <w:color w:val="auto"/>
              </w:rPr>
            </w:pPr>
          </w:p>
        </w:tc>
        <w:tc>
          <w:tcPr>
            <w:tcW w:w="1480" w:type="dxa"/>
            <w:vAlign w:val="bottom"/>
            <w:shd w:val="clear" w:color="auto" w:fill="DEEBF7"/>
          </w:tcPr>
          <w:p>
            <w:pPr>
              <w:jc w:val="right"/>
              <w:ind w:right="130"/>
              <w:spacing w:after="0"/>
              <w:rPr>
                <w:sz w:val="20"/>
                <w:szCs w:val="20"/>
                <w:color w:val="auto"/>
              </w:rPr>
            </w:pPr>
            <w:r>
              <w:rPr>
                <w:rFonts w:ascii="Times New Roman" w:cs="Times New Roman" w:eastAsia="Times New Roman" w:hAnsi="Times New Roman"/>
                <w:sz w:val="18"/>
                <w:szCs w:val="18"/>
                <w:color w:val="auto"/>
              </w:rPr>
              <w:t>56,250</w:t>
            </w:r>
          </w:p>
        </w:tc>
        <w:tc>
          <w:tcPr>
            <w:tcW w:w="440" w:type="dxa"/>
            <w:vAlign w:val="bottom"/>
            <w:shd w:val="clear" w:color="auto" w:fill="DEEBF7"/>
          </w:tcPr>
          <w:p>
            <w:pPr>
              <w:spacing w:after="0"/>
              <w:rPr>
                <w:sz w:val="19"/>
                <w:szCs w:val="19"/>
                <w:color w:val="auto"/>
              </w:rPr>
            </w:pP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81,250</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Michael Stern (1)</w:t>
            </w:r>
          </w:p>
        </w:tc>
        <w:tc>
          <w:tcPr>
            <w:tcW w:w="5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4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31,875</w:t>
            </w:r>
          </w:p>
        </w:tc>
        <w:tc>
          <w:tcPr>
            <w:tcW w:w="44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54,375</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shd w:val="clear" w:color="auto" w:fill="DEEBF7"/>
          </w:tcPr>
          <w:p>
            <w:pPr>
              <w:ind w:left="20"/>
              <w:spacing w:after="0"/>
              <w:rPr>
                <w:sz w:val="20"/>
                <w:szCs w:val="20"/>
                <w:color w:val="auto"/>
              </w:rPr>
            </w:pPr>
            <w:r>
              <w:rPr>
                <w:rFonts w:ascii="Times New Roman" w:cs="Times New Roman" w:eastAsia="Times New Roman" w:hAnsi="Times New Roman"/>
                <w:sz w:val="18"/>
                <w:szCs w:val="18"/>
                <w:color w:val="auto"/>
              </w:rPr>
              <w:t>Sylvia A. Wulf</w:t>
            </w:r>
          </w:p>
        </w:tc>
        <w:tc>
          <w:tcPr>
            <w:tcW w:w="560" w:type="dxa"/>
            <w:vAlign w:val="bottom"/>
            <w:tcBorders>
              <w:bottom w:val="single" w:sz="8" w:color="auto"/>
            </w:tcBorders>
            <w:shd w:val="clear" w:color="auto" w:fill="DEEBF7"/>
          </w:tcPr>
          <w:p>
            <w:pPr>
              <w:spacing w:after="0"/>
              <w:rPr>
                <w:sz w:val="19"/>
                <w:szCs w:val="19"/>
                <w:color w:val="auto"/>
              </w:rPr>
            </w:pPr>
          </w:p>
        </w:tc>
        <w:tc>
          <w:tcPr>
            <w:tcW w:w="1360" w:type="dxa"/>
            <w:vAlign w:val="bottom"/>
            <w:tcBorders>
              <w:bottom w:val="single" w:sz="8" w:color="auto"/>
            </w:tcBorders>
            <w:shd w:val="clear" w:color="auto" w:fill="DEEBF7"/>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480" w:type="dxa"/>
            <w:vAlign w:val="bottom"/>
            <w:tcBorders>
              <w:bottom w:val="single" w:sz="8" w:color="auto"/>
            </w:tcBorders>
            <w:shd w:val="clear" w:color="auto" w:fill="DEEBF7"/>
          </w:tcPr>
          <w:p>
            <w:pPr>
              <w:spacing w:after="0"/>
              <w:rPr>
                <w:sz w:val="19"/>
                <w:szCs w:val="19"/>
                <w:color w:val="auto"/>
              </w:rPr>
            </w:pPr>
          </w:p>
        </w:tc>
        <w:tc>
          <w:tcPr>
            <w:tcW w:w="1480" w:type="dxa"/>
            <w:vAlign w:val="bottom"/>
            <w:tcBorders>
              <w:bottom w:val="single" w:sz="8" w:color="auto"/>
            </w:tcBorders>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60,000</w:t>
            </w:r>
          </w:p>
        </w:tc>
        <w:tc>
          <w:tcPr>
            <w:tcW w:w="440" w:type="dxa"/>
            <w:vAlign w:val="bottom"/>
            <w:tcBorders>
              <w:bottom w:val="single" w:sz="8" w:color="auto"/>
            </w:tcBorders>
            <w:shd w:val="clear" w:color="auto" w:fill="DEEBF7"/>
          </w:tcPr>
          <w:p>
            <w:pPr>
              <w:spacing w:after="0"/>
              <w:rPr>
                <w:sz w:val="19"/>
                <w:szCs w:val="19"/>
                <w:color w:val="auto"/>
              </w:rPr>
            </w:pPr>
          </w:p>
        </w:tc>
        <w:tc>
          <w:tcPr>
            <w:tcW w:w="1460" w:type="dxa"/>
            <w:vAlign w:val="bottom"/>
            <w:tcBorders>
              <w:bottom w:val="single" w:sz="8" w:color="auto"/>
            </w:tcBorders>
            <w:shd w:val="clear" w:color="auto" w:fill="DEEBF7"/>
          </w:tcPr>
          <w:p>
            <w:pPr>
              <w:jc w:val="right"/>
              <w:ind w:right="230"/>
              <w:spacing w:after="0"/>
              <w:rPr>
                <w:sz w:val="20"/>
                <w:szCs w:val="20"/>
                <w:color w:val="auto"/>
              </w:rPr>
            </w:pPr>
            <w:r>
              <w:rPr>
                <w:rFonts w:ascii="Times New Roman" w:cs="Times New Roman" w:eastAsia="Times New Roman" w:hAnsi="Times New Roman"/>
                <w:sz w:val="18"/>
                <w:szCs w:val="18"/>
                <w:color w:val="auto"/>
              </w:rPr>
              <w:t>90,000</w:t>
            </w:r>
          </w:p>
        </w:tc>
        <w:tc>
          <w:tcPr>
            <w:tcW w:w="1760" w:type="dxa"/>
            <w:vAlign w:val="bottom"/>
            <w:tcBorders>
              <w:bottom w:val="single" w:sz="8" w:color="auto"/>
            </w:tcBorders>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shd w:val="clear" w:color="auto" w:fill="DEEBF7"/>
          </w:tcPr>
          <w:p>
            <w:pPr>
              <w:jc w:val="right"/>
              <w:ind w:right="80"/>
              <w:spacing w:after="0"/>
              <w:rPr>
                <w:sz w:val="20"/>
                <w:szCs w:val="20"/>
                <w:color w:val="auto"/>
              </w:rPr>
            </w:pPr>
            <w:r>
              <w:rPr>
                <w:rFonts w:ascii="Times New Roman" w:cs="Times New Roman" w:eastAsia="Times New Roman" w:hAnsi="Times New Roman"/>
                <w:sz w:val="18"/>
                <w:szCs w:val="18"/>
                <w:color w:val="auto"/>
              </w:rPr>
              <w:t>17,164</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202,500</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390,625</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593,125</w:t>
            </w:r>
          </w:p>
        </w:tc>
        <w:tc>
          <w:tcPr>
            <w:tcW w:w="17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18,964</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0" w:hanging="326"/>
        <w:spacing w:after="0"/>
        <w:tabs>
          <w:tab w:leader="none" w:pos="58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Alvarez, Ms. Sharp and Mr. Stern stepped down from the Board on June 12, 2025.</w:t>
      </w:r>
    </w:p>
    <w:p>
      <w:pPr>
        <w:ind w:left="58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ind w:left="580" w:hanging="326"/>
        <w:spacing w:after="0"/>
        <w:tabs>
          <w:tab w:leader="none" w:pos="58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Sharp Myers and Ms. St.Clare stepped down from the Board on October 28, 2025.</w:t>
      </w:r>
    </w:p>
    <w:p>
      <w:pPr>
        <w:spacing w:after="0" w:line="55" w:lineRule="exact"/>
        <w:rPr>
          <w:rFonts w:ascii="Times New Roman" w:cs="Times New Roman" w:eastAsia="Times New Roman" w:hAnsi="Times New Roman"/>
          <w:sz w:val="30"/>
          <w:szCs w:val="30"/>
          <w:color w:val="auto"/>
          <w:vertAlign w:val="superscript"/>
        </w:rPr>
      </w:pPr>
    </w:p>
    <w:p>
      <w:pPr>
        <w:ind w:left="580" w:hanging="326"/>
        <w:spacing w:after="0" w:line="194" w:lineRule="auto"/>
        <w:tabs>
          <w:tab w:leader="none" w:pos="5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Bensler and Mr. Lichti joined the Board on October 28, 2025.</w:t>
      </w:r>
    </w:p>
    <w:p>
      <w:pPr>
        <w:spacing w:after="0" w:line="42" w:lineRule="exact"/>
        <w:rPr>
          <w:rFonts w:ascii="Times New Roman" w:cs="Times New Roman" w:eastAsia="Times New Roman" w:hAnsi="Times New Roman"/>
          <w:sz w:val="23"/>
          <w:szCs w:val="23"/>
          <w:color w:val="auto"/>
          <w:vertAlign w:val="superscript"/>
        </w:rPr>
      </w:pPr>
    </w:p>
    <w:p>
      <w:pPr>
        <w:ind w:left="580" w:hanging="326"/>
        <w:spacing w:after="0" w:line="194" w:lineRule="auto"/>
        <w:tabs>
          <w:tab w:leader="none" w:pos="5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Sterling’s compensation for Q4, 2025 was paid in Q1,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Agreements</w:t>
      </w:r>
    </w:p>
    <w:p>
      <w:pPr>
        <w:spacing w:after="0" w:line="18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Nasdaq Listing Rule 5250(b)(3) requires disclosure of the material terms of any agreements or arrangements between any of our directors or director nominees and any person or entity other than the Company relating to compensation or other payment in connection with such person’s candidacy for or service as a director of the Company. Mr. Bensler provides his director services to the Company through GB Capital Ltd., a corporation wholly owned and controlled by Mr. Bensler, and the Company pays Mr. Bensler’s director fees directly to GB Capital Ltd. pursuant to a consulting agreement. Mr. Lichti provides his director services to the Company through NorthStrive Companies, Inc., a corporation wholly owned and controlled by Mr. Lichti, and the Company pays Mr. Lichti’s director fees directly to NorthStrive Companies, Inc. pursuant to a consulting agreement.</w:t>
      </w:r>
    </w:p>
    <w:p>
      <w:pPr>
        <w:spacing w:after="0" w:line="144"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7"/>
          <w:szCs w:val="17"/>
          <w:color w:val="auto"/>
        </w:rPr>
        <w:t>Other than the arrangements described above, the Company is not aware of any agreements or arrangements between any of our directors or director nominees and any third party relating to compensation or other payment in connection with such person’s candidacy or service as a director.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election of our directors requires a plurality vote. Director nominees are nominated to serve on our Board for a one-year term, to hold office until the next annual meeting of our stockholders or until the election and qualification of his or her successor and subject to his or her earlier death, disqualification, resignation or removal. Each nominee must receive at least one FOR vote, and the four nominees receiving the highest number of FOR votes are elected. In an uncontested election, where the number of nominees and available board seats are equal, election requires only a single vote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OUR BOARD RECOMMENDS THAT STOCKHOLDERS VOTE FOR THE 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15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152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APPOINTMENT OF DELOITTE &amp; TOUCHE LLP TO SERVE AS OUR INDEPENDENT REGISTERED PUBLIC ACCOUNTING FIRM</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ENDING DECEMBER 31, 2026.</w:t>
      </w:r>
    </w:p>
    <w:p>
      <w:pPr>
        <w:spacing w:after="0" w:line="20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Audit Committee (“AC”) of the Board has appointed the firm of Deloitte &amp; Touche LLP (“Deloitte”) to serve as our independent registered public accounting firm for the fiscal year ending December 31, 2026, and is asking the stockholders to ratify this appointment.</w:t>
      </w:r>
    </w:p>
    <w:p>
      <w:pPr>
        <w:spacing w:after="0" w:line="149" w:lineRule="exact"/>
        <w:rPr>
          <w:sz w:val="20"/>
          <w:szCs w:val="20"/>
          <w:color w:val="auto"/>
        </w:rPr>
      </w:pPr>
    </w:p>
    <w:p>
      <w:pPr>
        <w:jc w:val="both"/>
        <w:ind w:right="440"/>
        <w:spacing w:after="0" w:line="242" w:lineRule="auto"/>
        <w:rPr>
          <w:sz w:val="20"/>
          <w:szCs w:val="20"/>
          <w:color w:val="auto"/>
        </w:rPr>
      </w:pPr>
      <w:r>
        <w:rPr>
          <w:rFonts w:ascii="Times New Roman" w:cs="Times New Roman" w:eastAsia="Times New Roman" w:hAnsi="Times New Roman"/>
          <w:sz w:val="18"/>
          <w:szCs w:val="18"/>
          <w:color w:val="auto"/>
        </w:rPr>
        <w:t>The AC believes that the retention of Deloitte for the 2026 fiscal year is in the best interest of us and our stockholders. One or more representatives of Deloitte are expected to be present at the Annual Meeting with the opportunity to make a statement if they so desire and to be available to respond to appropriate questions.</w:t>
      </w:r>
    </w:p>
    <w:p>
      <w:pPr>
        <w:spacing w:after="0" w:line="14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the event the stockholders fail to ratify the appointment of Deloitte as our independent registered public accounting firm, the AC may reconsider its selection.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fees billed by Deloitte for the fiscal years ended December 31, 2025 and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10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DEEBF7"/>
          </w:tcPr>
          <w:p>
            <w:pPr>
              <w:spacing w:after="0" w:line="182" w:lineRule="exact"/>
              <w:rPr>
                <w:sz w:val="20"/>
                <w:szCs w:val="20"/>
                <w:color w:val="auto"/>
              </w:rPr>
            </w:pPr>
            <w:r>
              <w:rPr>
                <w:rFonts w:ascii="Times New Roman" w:cs="Times New Roman" w:eastAsia="Times New Roman" w:hAnsi="Times New Roman"/>
                <w:sz w:val="18"/>
                <w:szCs w:val="18"/>
                <w:color w:val="auto"/>
              </w:rPr>
              <w:t>Audit Fees (1)</w:t>
            </w:r>
          </w:p>
        </w:tc>
        <w:tc>
          <w:tcPr>
            <w:tcW w:w="3240" w:type="dxa"/>
            <w:vAlign w:val="bottom"/>
            <w:shd w:val="clear" w:color="auto" w:fill="DEEBF7"/>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458,900</w:t>
            </w:r>
          </w:p>
        </w:tc>
        <w:tc>
          <w:tcPr>
            <w:tcW w:w="660" w:type="dxa"/>
            <w:vAlign w:val="bottom"/>
            <w:shd w:val="clear" w:color="auto" w:fill="DEEBF7"/>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638,570</w:t>
            </w:r>
          </w:p>
        </w:tc>
        <w:tc>
          <w:tcPr>
            <w:tcW w:w="0" w:type="dxa"/>
            <w:vAlign w:val="bottom"/>
          </w:tcPr>
          <w:p>
            <w:pPr>
              <w:spacing w:after="0"/>
              <w:rPr>
                <w:sz w:val="1"/>
                <w:szCs w:val="1"/>
                <w:color w:val="auto"/>
              </w:rPr>
            </w:pPr>
          </w:p>
        </w:tc>
      </w:tr>
      <w:tr>
        <w:trPr>
          <w:trHeight w:val="189"/>
        </w:trPr>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Audit Related Fees (2)</w:t>
            </w:r>
          </w:p>
        </w:tc>
        <w:tc>
          <w:tcPr>
            <w:tcW w:w="3240" w:type="dxa"/>
            <w:vAlign w:val="bottom"/>
          </w:tcPr>
          <w:p>
            <w:pPr>
              <w:spacing w:after="0"/>
              <w:rPr>
                <w:sz w:val="16"/>
                <w:szCs w:val="16"/>
                <w:color w:val="auto"/>
              </w:rPr>
            </w:pPr>
          </w:p>
        </w:tc>
        <w:tc>
          <w:tcPr>
            <w:tcW w:w="176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90,000</w:t>
            </w:r>
          </w:p>
        </w:tc>
        <w:tc>
          <w:tcPr>
            <w:tcW w:w="6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auto"/>
            </w:tcBorders>
            <w:shd w:val="clear" w:color="auto" w:fill="DEEBF7"/>
          </w:tcPr>
          <w:p>
            <w:pPr>
              <w:spacing w:after="0" w:line="189" w:lineRule="exact"/>
              <w:rPr>
                <w:sz w:val="20"/>
                <w:szCs w:val="20"/>
                <w:color w:val="auto"/>
              </w:rPr>
            </w:pPr>
            <w:r>
              <w:rPr>
                <w:rFonts w:ascii="Times New Roman" w:cs="Times New Roman" w:eastAsia="Times New Roman" w:hAnsi="Times New Roman"/>
                <w:sz w:val="18"/>
                <w:szCs w:val="18"/>
                <w:color w:val="auto"/>
              </w:rPr>
              <w:t>Tax Fees (3)</w:t>
            </w:r>
          </w:p>
        </w:tc>
        <w:tc>
          <w:tcPr>
            <w:tcW w:w="3240" w:type="dxa"/>
            <w:vAlign w:val="bottom"/>
            <w:tcBorders>
              <w:bottom w:val="single" w:sz="8" w:color="auto"/>
            </w:tcBorders>
            <w:shd w:val="clear" w:color="auto" w:fill="DEEBF7"/>
          </w:tcPr>
          <w:p>
            <w:pPr>
              <w:spacing w:after="0"/>
              <w:rPr>
                <w:sz w:val="16"/>
                <w:szCs w:val="16"/>
                <w:color w:val="auto"/>
              </w:rPr>
            </w:pPr>
          </w:p>
        </w:tc>
        <w:tc>
          <w:tcPr>
            <w:tcW w:w="1760" w:type="dxa"/>
            <w:vAlign w:val="bottom"/>
            <w:tcBorders>
              <w:bottom w:val="single" w:sz="8" w:color="auto"/>
            </w:tcBorders>
            <w:gridSpan w:val="2"/>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46,200</w:t>
            </w:r>
          </w:p>
        </w:tc>
        <w:tc>
          <w:tcPr>
            <w:tcW w:w="660" w:type="dxa"/>
            <w:vAlign w:val="bottom"/>
            <w:tcBorders>
              <w:bottom w:val="single" w:sz="8" w:color="auto"/>
            </w:tcBorders>
            <w:shd w:val="clear" w:color="auto" w:fill="DEEBF7"/>
          </w:tcPr>
          <w:p>
            <w:pPr>
              <w:spacing w:after="0"/>
              <w:rPr>
                <w:sz w:val="16"/>
                <w:szCs w:val="16"/>
                <w:color w:val="auto"/>
              </w:rPr>
            </w:pPr>
          </w:p>
        </w:tc>
        <w:tc>
          <w:tcPr>
            <w:tcW w:w="1120" w:type="dxa"/>
            <w:vAlign w:val="bottom"/>
            <w:tcBorders>
              <w:bottom w:val="single" w:sz="8" w:color="auto"/>
            </w:tcBorders>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183"/>
        </w:trPr>
        <w:tc>
          <w:tcPr>
            <w:tcW w:w="44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3240" w:type="dxa"/>
            <w:vAlign w:val="bottom"/>
            <w:tcBorders>
              <w:bottom w:val="single" w:sz="8" w:color="auto"/>
            </w:tcBorders>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595,100</w:t>
            </w:r>
          </w:p>
        </w:tc>
        <w:tc>
          <w:tcPr>
            <w:tcW w:w="660" w:type="dxa"/>
            <w:vAlign w:val="bottom"/>
            <w:tcBorders>
              <w:bottom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686,886</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520" w:hanging="253"/>
        <w:spacing w:after="0"/>
        <w:tabs>
          <w:tab w:leader="none" w:pos="5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fees incurred for the audit of our consolidated financial statements and quarterly reviews.</w:t>
      </w:r>
    </w:p>
    <w:p>
      <w:pPr>
        <w:spacing w:after="0" w:line="42" w:lineRule="exact"/>
        <w:rPr>
          <w:rFonts w:ascii="Times New Roman" w:cs="Times New Roman" w:eastAsia="Times New Roman" w:hAnsi="Times New Roman"/>
          <w:sz w:val="30"/>
          <w:szCs w:val="30"/>
          <w:color w:val="auto"/>
          <w:vertAlign w:val="superscript"/>
        </w:rPr>
      </w:pPr>
    </w:p>
    <w:p>
      <w:pPr>
        <w:ind w:left="520" w:hanging="253"/>
        <w:spacing w:after="0" w:line="194" w:lineRule="auto"/>
        <w:tabs>
          <w:tab w:leader="none" w:pos="5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fees for services related to other filings with the SEC.</w:t>
      </w:r>
    </w:p>
    <w:p>
      <w:pPr>
        <w:spacing w:after="0" w:line="56" w:lineRule="exact"/>
        <w:rPr>
          <w:rFonts w:ascii="Times New Roman" w:cs="Times New Roman" w:eastAsia="Times New Roman" w:hAnsi="Times New Roman"/>
          <w:sz w:val="23"/>
          <w:szCs w:val="23"/>
          <w:color w:val="auto"/>
          <w:vertAlign w:val="superscript"/>
        </w:rPr>
      </w:pPr>
    </w:p>
    <w:p>
      <w:pPr>
        <w:ind w:left="520" w:hanging="253"/>
        <w:spacing w:after="0" w:line="194" w:lineRule="auto"/>
        <w:tabs>
          <w:tab w:leader="none" w:pos="5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fees incurred for tax preparation and tax-related compliance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Under its charter, the AC must pre-approve all engagements of our independent registered public accounting firm, unless an exception to such pre-approval exists under the Exchange Act or the rules of the SEC. The AC has delegated to its Chair the authority to evaluate and approve service engagements on behalf of the full AC in the event a need arises for specific pre-approval between AC meetings. All of the audit, audit-related, and tax services provided by our independent registered public accounting firm for the 2025 fiscal year were approved by the AC in accordance with the foregoing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Capital Stock present in person or represented by proxy at the annual meeting and entitled to vote on the matter and which has been voted is required to ratify the appointment of Deloitte to serve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REVERSE STOCK SPLIT PROPOSAL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Our Board has unanimously approved and declared advisable an amendment to our Charter (the “Amendment”), which would effect a reverse stock split of all issued and outstanding shares of our Common Stock (along with any shares of Common Stock held by the Company in treasury), at a ratio</w:t>
      </w:r>
    </w:p>
    <w:p>
      <w:pPr>
        <w:spacing w:after="0" w:line="1"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ranging from 1-for-5 to 1-for-20 (the “Reverse Stock Split”), inclusive, should such Amendment be approved by the stockholders pursuant to this Proposal 3 and if the Board determines to effect the Reverse Stock Split. The decision whether or not to effect a Reverse Stock Split and the ratio of any</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Reverse Stock Split will be determined by the Board following the Annual Meeting and prior to July 31, 2026. Our Board has recommended that the proposed Amendment be presented to our stockholders for approval.</w:t>
      </w:r>
    </w:p>
    <w:p>
      <w:pPr>
        <w:spacing w:after="0" w:line="14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Our stockholders are being asked to approve the Reverse Stock Split pursuant to this Proposal 3 and to grant authorization to the Board to determine, at its option, whether to implement a Reverse Stock Split, including its specific timing and ratio. Should we receive the required stockholder approvals for</w:t>
      </w:r>
    </w:p>
    <w:p>
      <w:pPr>
        <w:spacing w:after="0" w:line="1"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Proposal 3, the Board will have the sole authority to elect, at any time on or prior to July 31, 2026, and without the need for any further action on the part of our stockholders, whether to effect a Reverse Stock Split and the number of whole shares of our Common Stock, between and including five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twenty (20), that will be combined into one share of our 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approving Proposal 3, our stockholders will: (a) approve the Amendment pursuant to which any whole number of issued shares of Common Stock</w:t>
      </w:r>
    </w:p>
    <w:p>
      <w:pPr>
        <w:spacing w:after="0" w:line="2"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between and including five (5) and twenty (20), as determined by our Board, could be combined into one share of Common Stock; and (b) authorize the Company to file the Amendment with the Delaware Secretary of State, in each case as determined by the Board at its sole option. The Board may also</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elect not to undertake any Reverse Stock Split and therefore abandon the Amendment. No further action on the part of stockholders will be required to either implement or abandon the Reverse Stock Split. If the Amendment has not been filed with the Delaware Secretary of State by the close of business</w:t>
      </w:r>
    </w:p>
    <w:p>
      <w:pPr>
        <w:spacing w:after="0" w:line="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8"/>
          <w:szCs w:val="18"/>
          <w:color w:val="auto"/>
        </w:rPr>
        <w:t>on July 31, 2026, our Board will abandon the Reverse Stock Split, and stockholder approval would again be required prior to implementing a reverse stock split of our Common Stock.</w:t>
      </w:r>
    </w:p>
    <w:p>
      <w:pPr>
        <w:spacing w:after="0" w:line="145"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7"/>
          <w:szCs w:val="17"/>
          <w:color w:val="auto"/>
        </w:rPr>
        <w:t>The form of the proposed Amendment to effect the Reverse Stock Split is as set forth in Appendix A (subject to the Board’s selection of the applicable reverse stock split ratio). The Reverse Stock Split, if effected, would affect all of our holders of Common Stock uniformly, except with respect to the</w:t>
      </w:r>
    </w:p>
    <w:p>
      <w:pPr>
        <w:spacing w:after="0" w:line="233" w:lineRule="auto"/>
        <w:rPr>
          <w:sz w:val="20"/>
          <w:szCs w:val="20"/>
          <w:color w:val="auto"/>
        </w:rPr>
      </w:pPr>
      <w:r>
        <w:rPr>
          <w:rFonts w:ascii="Times New Roman" w:cs="Times New Roman" w:eastAsia="Times New Roman" w:hAnsi="Times New Roman"/>
          <w:sz w:val="18"/>
          <w:szCs w:val="18"/>
          <w:color w:val="auto"/>
        </w:rPr>
        <w:t>treatment of fractional shares. The following description of the proposed Amendment and Reverse Stock Split is a summary and is subject to the full text of the proposed Amendment.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 Reverse Stock Split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15, 2025, we received a letter (the “Letter”) from The NASDAQ Stock Market LLC (“Nasdaq”) notifying us that, because the closing bid</w:t>
      </w:r>
    </w:p>
    <w:p>
      <w:pPr>
        <w:spacing w:after="0" w:line="2"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price for our Common Stock had been below $1.00 per share for the previous 30 consecutive business days, it no longer complied with the minimum bid price requirement for continued listing on the Nasdaq Capital Market. The Letter had no immediate effect on our listing on the Nasdaq Capital</w:t>
      </w:r>
    </w:p>
    <w:p>
      <w:pPr>
        <w:spacing w:after="0" w:line="1" w:lineRule="exact"/>
        <w:rPr>
          <w:sz w:val="20"/>
          <w:szCs w:val="20"/>
          <w:color w:val="auto"/>
        </w:rPr>
      </w:pPr>
    </w:p>
    <w:p>
      <w:pPr>
        <w:ind w:right="220"/>
        <w:spacing w:after="0" w:line="211" w:lineRule="auto"/>
        <w:rPr>
          <w:sz w:val="20"/>
          <w:szCs w:val="20"/>
          <w:color w:val="auto"/>
        </w:rPr>
      </w:pPr>
      <w:r>
        <w:rPr>
          <w:rFonts w:ascii="Times New Roman" w:cs="Times New Roman" w:eastAsia="Times New Roman" w:hAnsi="Times New Roman"/>
          <w:sz w:val="18"/>
          <w:szCs w:val="18"/>
          <w:color w:val="auto"/>
        </w:rPr>
        <w:t>Market or on the trading of our Common Stock. The Letter provided us with a compliance period of 180 calendar days, or until July 15, 2025, to regain compliance. We were unable to regain compliance with the bid price requirement by July 15, 2025. However, on July 17, 2025, we received a</w:t>
      </w:r>
    </w:p>
    <w:p>
      <w:pPr>
        <w:spacing w:after="0" w:line="219" w:lineRule="auto"/>
        <w:rPr>
          <w:sz w:val="20"/>
          <w:szCs w:val="20"/>
          <w:color w:val="auto"/>
        </w:rPr>
      </w:pPr>
      <w:r>
        <w:rPr>
          <w:rFonts w:ascii="Times New Roman" w:cs="Times New Roman" w:eastAsia="Times New Roman" w:hAnsi="Times New Roman"/>
          <w:sz w:val="18"/>
          <w:szCs w:val="18"/>
          <w:color w:val="auto"/>
        </w:rPr>
        <w:t>notice from Nasdaq granting us an additional 180 calendar days, or until January 12, 2026, to regain compliance with the minimum $1.00 bid price per</w:t>
      </w:r>
    </w:p>
    <w:p>
      <w:pPr>
        <w:spacing w:after="0" w:line="1"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8"/>
          <w:szCs w:val="18"/>
          <w:color w:val="auto"/>
        </w:rPr>
        <w:t>share requirement for continued listing on the Nasdaq Capital Market. Nasdaq determined that we were eligible for the second compliance period due to us meeting the continued listing requirement for market value of publicly held shares and all other applicable requirements for initial listing on the</w:t>
      </w:r>
    </w:p>
    <w:p>
      <w:pPr>
        <w:spacing w:after="0" w:line="1"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Nasdaq Capital Market, with the exception of the bid price requirement, and our written notice of our intention to cure the deficiency during the second compliance period by effecting a reverse stock split, if necessary. On September 15, 2025, we received a letter from Nasdaq notifying us that, because</w:t>
      </w:r>
    </w:p>
    <w:p>
      <w:pPr>
        <w:spacing w:after="0" w:line="1"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18"/>
          <w:szCs w:val="18"/>
          <w:color w:val="auto"/>
        </w:rPr>
        <w:t>the closing bid price for our Common Stock had exceeded $1.00 per share for more than 10 consecutive business days, we had regained compliance with the minimum bid price requirement for continued listing on Nasdaq.</w:t>
      </w:r>
    </w:p>
    <w:p>
      <w:pPr>
        <w:spacing w:after="0" w:line="240"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We have continued to monitor the closing bid price of our Common Stock, but it has been consistently falling below $1.00 per share and is at risk of losing compliance with the minimum bid price requirement for continued listing on Nasdaq. If an issuer’s equity security is delisted from the Nasdaq</w:t>
      </w:r>
    </w:p>
    <w:p>
      <w:pPr>
        <w:spacing w:after="0" w:line="2" w:lineRule="exact"/>
        <w:rPr>
          <w:sz w:val="20"/>
          <w:szCs w:val="20"/>
          <w:color w:val="auto"/>
        </w:rPr>
      </w:pPr>
    </w:p>
    <w:p>
      <w:pPr>
        <w:ind w:right="880"/>
        <w:spacing w:after="0" w:line="212" w:lineRule="auto"/>
        <w:rPr>
          <w:sz w:val="20"/>
          <w:szCs w:val="20"/>
          <w:color w:val="auto"/>
        </w:rPr>
      </w:pPr>
      <w:r>
        <w:rPr>
          <w:rFonts w:ascii="Times New Roman" w:cs="Times New Roman" w:eastAsia="Times New Roman" w:hAnsi="Times New Roman"/>
          <w:sz w:val="18"/>
          <w:szCs w:val="18"/>
          <w:color w:val="auto"/>
        </w:rPr>
        <w:t>Capital Market, it may be forced to seek to have its equity security traded or quoted on the OTC Bulletin Board or in the “pink sheets.” Such alternatives are generally considered to be less efficient markets and not as broad</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4" w:right="419" w:bottom="1440" w:gutter="0" w:footer="0" w:header="0"/>
        </w:sectPr>
      </w:pPr>
    </w:p>
    <w:bookmarkStart w:id="17" w:name="page18"/>
    <w:bookmarkEnd w:id="17"/>
    <w:p>
      <w:pPr>
        <w:ind w:right="60"/>
        <w:spacing w:after="0" w:line="251" w:lineRule="auto"/>
        <w:rPr>
          <w:sz w:val="20"/>
          <w:szCs w:val="20"/>
          <w:color w:val="auto"/>
        </w:rPr>
      </w:pPr>
      <w:r>
        <w:rPr>
          <w:rFonts w:ascii="Times New Roman" w:cs="Times New Roman" w:eastAsia="Times New Roman" w:hAnsi="Times New Roman"/>
          <w:sz w:val="18"/>
          <w:szCs w:val="18"/>
          <w:color w:val="auto"/>
        </w:rPr>
        <w:t>as the Nasdaq Capital Market, and therefore less desirable. Accordingly, the delisting, or even the potential delisting, of our Common Stock could have a negative impact on the liquidity and market price of our Common Stock.</w:t>
      </w:r>
    </w:p>
    <w:p>
      <w:pPr>
        <w:spacing w:after="0" w:line="13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As such, our Board believes that it is in the best interest of the Company and its stockholders that the Board has the ability to effect, in its discretion, the Reverse Stock Split to improve the price level of our Common Stock so that we are able to remain in compliance with the minimum bid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and minimize the risk of delisting from the Nasdaq Capital Market.</w:t>
      </w:r>
    </w:p>
    <w:p>
      <w:pPr>
        <w:spacing w:after="0" w:line="15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Any delisting from the Nasdaq Capital Market would likely result in further reductions in the market prices of our Common Stock, substantially limit the liquidity of our Common Stock, not only in the number of shares that could be bought and sold at a given price, which might be depressed by the</w:t>
      </w:r>
    </w:p>
    <w:p>
      <w:pPr>
        <w:spacing w:after="0" w:line="232" w:lineRule="auto"/>
        <w:rPr>
          <w:sz w:val="20"/>
          <w:szCs w:val="20"/>
          <w:color w:val="auto"/>
        </w:rPr>
      </w:pPr>
      <w:r>
        <w:rPr>
          <w:rFonts w:ascii="Times New Roman" w:cs="Times New Roman" w:eastAsia="Times New Roman" w:hAnsi="Times New Roman"/>
          <w:sz w:val="17"/>
          <w:szCs w:val="17"/>
          <w:color w:val="auto"/>
        </w:rPr>
        <w:t>relative illiquidity, but also through delays in the timing of transactions and reduction in media and analyst coverage, and materially adversely affect our</w:t>
      </w:r>
    </w:p>
    <w:p>
      <w:pPr>
        <w:ind w:right="540"/>
        <w:spacing w:after="0" w:line="223" w:lineRule="auto"/>
        <w:rPr>
          <w:sz w:val="20"/>
          <w:szCs w:val="20"/>
          <w:color w:val="auto"/>
        </w:rPr>
      </w:pPr>
      <w:r>
        <w:rPr>
          <w:rFonts w:ascii="Times New Roman" w:cs="Times New Roman" w:eastAsia="Times New Roman" w:hAnsi="Times New Roman"/>
          <w:sz w:val="17"/>
          <w:szCs w:val="17"/>
          <w:color w:val="auto"/>
        </w:rPr>
        <w:t>ability to raise capital or pursue strategic restructuring, refinancing or other transactions on acceptable terms, or at all. Delisting from the Nasdaq Capital Market could also have other negative results, including the potential loss of institutional investor interest, fewer business development</w:t>
      </w:r>
    </w:p>
    <w:p>
      <w:pPr>
        <w:spacing w:after="0" w:line="1" w:lineRule="exact"/>
        <w:rPr>
          <w:sz w:val="20"/>
          <w:szCs w:val="20"/>
          <w:color w:val="auto"/>
        </w:rPr>
      </w:pPr>
    </w:p>
    <w:p>
      <w:pPr>
        <w:ind w:right="340"/>
        <w:spacing w:after="0" w:line="223" w:lineRule="auto"/>
        <w:rPr>
          <w:sz w:val="20"/>
          <w:szCs w:val="20"/>
          <w:color w:val="auto"/>
        </w:rPr>
      </w:pPr>
      <w:r>
        <w:rPr>
          <w:rFonts w:ascii="Times New Roman" w:cs="Times New Roman" w:eastAsia="Times New Roman" w:hAnsi="Times New Roman"/>
          <w:sz w:val="17"/>
          <w:szCs w:val="17"/>
          <w:color w:val="auto"/>
        </w:rPr>
        <w:t>opportunities, and the inability to raise additional required capital. In addition, the SEC has adopted rules governing “penny stocks” that impose additional burdens on broker-dealers trading in stock priced at below $5.00 per share, unless listed on certain securities exchanges. In the event of a</w:t>
      </w:r>
    </w:p>
    <w:p>
      <w:pPr>
        <w:spacing w:after="0" w:line="233" w:lineRule="auto"/>
        <w:rPr>
          <w:sz w:val="20"/>
          <w:szCs w:val="20"/>
          <w:color w:val="auto"/>
        </w:rPr>
      </w:pPr>
      <w:r>
        <w:rPr>
          <w:rFonts w:ascii="Times New Roman" w:cs="Times New Roman" w:eastAsia="Times New Roman" w:hAnsi="Times New Roman"/>
          <w:sz w:val="17"/>
          <w:szCs w:val="17"/>
          <w:color w:val="auto"/>
        </w:rPr>
        <w:t>delisting, we anticipate taking actions to try to meet the Nasdaq Capital Market’s initial listing standards and submitting an application for our Common</w:t>
      </w:r>
    </w:p>
    <w:p>
      <w:pPr>
        <w:ind w:right="140"/>
        <w:spacing w:after="0" w:line="223" w:lineRule="auto"/>
        <w:rPr>
          <w:sz w:val="20"/>
          <w:szCs w:val="20"/>
          <w:color w:val="auto"/>
        </w:rPr>
      </w:pPr>
      <w:r>
        <w:rPr>
          <w:rFonts w:ascii="Times New Roman" w:cs="Times New Roman" w:eastAsia="Times New Roman" w:hAnsi="Times New Roman"/>
          <w:sz w:val="17"/>
          <w:szCs w:val="17"/>
          <w:color w:val="auto"/>
        </w:rPr>
        <w:t>Stock to be listed on the Nasdaq Capital Market, but we can provide no assurance that any such action taken by us would allow our Common Stock to become listed again, stabilize the market price or improve the liquidity of our Common Stock, prevent our Common Stock from dropping below the</w:t>
      </w:r>
    </w:p>
    <w:p>
      <w:pPr>
        <w:spacing w:after="0" w:line="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minimum bid price requirement or prevent future non-compliance with the Nasdaq Capital Market’s listing requirements, whether as to minimum bid price or otherwise.</w:t>
      </w:r>
    </w:p>
    <w:p>
      <w:pPr>
        <w:spacing w:after="0" w:line="157"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In addition to remaining in compliance with the Nasdaq Capital Market’s minimum bid price listing requirements, we also believe that the Reverse Stock Split and an increase in our stock price may make our Common Stock more attractive to a broader range of institutional and other investors</w:t>
      </w:r>
    </w:p>
    <w:p>
      <w:pPr>
        <w:spacing w:after="0" w:line="220" w:lineRule="auto"/>
        <w:rPr>
          <w:sz w:val="20"/>
          <w:szCs w:val="20"/>
          <w:color w:val="auto"/>
        </w:rPr>
      </w:pPr>
      <w:r>
        <w:rPr>
          <w:rFonts w:ascii="Times New Roman" w:cs="Times New Roman" w:eastAsia="Times New Roman" w:hAnsi="Times New Roman"/>
          <w:sz w:val="18"/>
          <w:szCs w:val="18"/>
          <w:color w:val="auto"/>
        </w:rPr>
        <w:t>(including funds that are prohibited from buying stocks whose price is below a certain threshold) and facilitate higher levels of institutional stock</w:t>
      </w:r>
    </w:p>
    <w:p>
      <w:pPr>
        <w:spacing w:after="0" w:line="1"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ownership, where investment policies generally prohibit investments in lower-priced securities, as well as better enable us to raise funds to help finance operations. We understand that many brokerage firms and institutional investors have internal policies and practices that either prohibit them</w:t>
      </w:r>
    </w:p>
    <w:p>
      <w:pPr>
        <w:spacing w:after="0" w:line="1"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from investing in low-priced stocks or tend to discourage individual brokers from recommending low-priced stocks to their customers, which reduces the number of potential purchasers of our Common Stock. In addition, some of those policies and practices may function to make the processing of</w:t>
      </w:r>
    </w:p>
    <w:p>
      <w:pPr>
        <w:spacing w:after="0" w:line="1"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w:t>
      </w:r>
    </w:p>
    <w:p>
      <w:pPr>
        <w:spacing w:after="0" w:line="219" w:lineRule="auto"/>
        <w:rPr>
          <w:sz w:val="20"/>
          <w:szCs w:val="20"/>
          <w:color w:val="auto"/>
        </w:rPr>
      </w:pPr>
      <w:r>
        <w:rPr>
          <w:rFonts w:ascii="Times New Roman" w:cs="Times New Roman" w:eastAsia="Times New Roman" w:hAnsi="Times New Roman"/>
          <w:sz w:val="18"/>
          <w:szCs w:val="18"/>
          <w:color w:val="auto"/>
        </w:rPr>
        <w:t>brokerage firms do not monitor the trading activity or otherwise provide coverage of lower-priced stocks. Further, lower-priced stocks have a</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perception in the investment community as being more risky and speculative, which may negatively impact not only the price of our Common Stock, but also our market liquidity.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9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The Reverse Stock Split would affect all stockholders uniformly and would not affect any stockholder’s percentage ownership interest in the Company, except to the extent that the Reverse Stock Split results in any stockholders owning a fractional share, the treatment of which is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authorized share capital is 75,000,000 shares of Common Stock, and 5,000,000 shares of Preferred Stock. As of April 24, 2026, 5,147,204</w:t>
      </w:r>
    </w:p>
    <w:p>
      <w:pPr>
        <w:spacing w:after="0" w:line="2" w:lineRule="exact"/>
        <w:rPr>
          <w:sz w:val="20"/>
          <w:szCs w:val="20"/>
          <w:color w:val="auto"/>
        </w:rPr>
      </w:pPr>
    </w:p>
    <w:p>
      <w:pPr>
        <w:ind w:right="500"/>
        <w:spacing w:after="0" w:line="223" w:lineRule="auto"/>
        <w:rPr>
          <w:sz w:val="20"/>
          <w:szCs w:val="20"/>
          <w:color w:val="auto"/>
        </w:rPr>
      </w:pPr>
      <w:r>
        <w:rPr>
          <w:rFonts w:ascii="Times New Roman" w:cs="Times New Roman" w:eastAsia="Times New Roman" w:hAnsi="Times New Roman"/>
          <w:sz w:val="17"/>
          <w:szCs w:val="17"/>
          <w:color w:val="auto"/>
        </w:rPr>
        <w:t>shares of Common Stock, 67,706 prefunded warrants that may be converted to Common Stock, 263,753 shares of Preferred Stock that may be converted to 5,275,076 shares of Common Stock and 37,594 stock options were outstanding. Accordingly, our current authorized but unissued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 share capital is 64,472,420 shares of Common Stock.</w:t>
      </w:r>
    </w:p>
    <w:p>
      <w:pPr>
        <w:spacing w:after="0" w:line="16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Therefore, as a result of the Reverse Stock Split, the number of outstanding shares of Common Stock would decrease by a specified amount and the number of shares reserved for Common Stock issuance for prefunded warrants, conversion of Preferred Stock and exercise of outstanding stock options</w:t>
      </w:r>
    </w:p>
    <w:p>
      <w:pPr>
        <w:ind w:right="100"/>
        <w:spacing w:after="0" w:line="211" w:lineRule="auto"/>
        <w:rPr>
          <w:sz w:val="20"/>
          <w:szCs w:val="20"/>
          <w:color w:val="auto"/>
        </w:rPr>
      </w:pPr>
      <w:r>
        <w:rPr>
          <w:rFonts w:ascii="Times New Roman" w:cs="Times New Roman" w:eastAsia="Times New Roman" w:hAnsi="Times New Roman"/>
          <w:sz w:val="18"/>
          <w:szCs w:val="18"/>
          <w:color w:val="auto"/>
        </w:rPr>
        <w:t>would also decrease by the specified amount. The determination of the specific ratio for the Reverse Stock Split will not affect the number of shares of Common Stock or Preferred Stock the Company is authorized to issue after the Reverse Stock Split. Regardless of the ratio, the Company will be</w:t>
      </w:r>
    </w:p>
    <w:p>
      <w:pPr>
        <w:spacing w:after="0" w:line="219" w:lineRule="auto"/>
        <w:rPr>
          <w:sz w:val="20"/>
          <w:szCs w:val="20"/>
          <w:color w:val="auto"/>
        </w:rPr>
      </w:pPr>
      <w:r>
        <w:rPr>
          <w:rFonts w:ascii="Times New Roman" w:cs="Times New Roman" w:eastAsia="Times New Roman" w:hAnsi="Times New Roman"/>
          <w:sz w:val="18"/>
          <w:szCs w:val="18"/>
          <w:color w:val="auto"/>
        </w:rPr>
        <w:t>authorized to issue 75,000,000 shares of Common Stock and 5,000,000 shares of Preferred Stock after the Reverse Stock Split. Assuming no change to</w:t>
      </w:r>
    </w:p>
    <w:p>
      <w:pPr>
        <w:spacing w:after="0" w:line="1"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the number of shares outstanding at the time of the Reverse Stock Split, and after giving effect to the Reverse Stock Split that would result from the listed hypothetical Reverse Stock Split ratios, and without giving effect to the treatment of fractional shares, our authorized but unissued or reserved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would be as follows: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359410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8"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5"/>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Split Shares</w:t>
            </w:r>
          </w:p>
        </w:tc>
        <w:tc>
          <w:tcPr>
            <w:tcW w:w="12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Unissued</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Common</w:t>
            </w:r>
          </w:p>
        </w:tc>
        <w:tc>
          <w:tcPr>
            <w:tcW w:w="2360" w:type="dxa"/>
            <w:vAlign w:val="bottom"/>
            <w:tcBorders>
              <w:bottom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Warrants (1) Conv Pref (2)</w:t>
            </w:r>
          </w:p>
        </w:tc>
        <w:tc>
          <w:tcPr>
            <w:tcW w:w="8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EIP (3)</w:t>
            </w:r>
          </w:p>
        </w:tc>
        <w:tc>
          <w:tcPr>
            <w:tcW w:w="12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6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2"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w:t>
            </w:r>
          </w:p>
        </w:tc>
        <w:tc>
          <w:tcPr>
            <w:tcW w:w="118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526,379</w:t>
            </w:r>
          </w:p>
        </w:tc>
        <w:tc>
          <w:tcPr>
            <w:tcW w:w="1220" w:type="dxa"/>
            <w:vAlign w:val="bottom"/>
            <w:shd w:val="clear" w:color="auto" w:fill="DDEBF7"/>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w w:val="98"/>
              </w:rPr>
              <w:t>74,473,621</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19</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554,084</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74,445,916</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584,866</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74,415,134</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17</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619,270</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74,380,730</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16</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657,974</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74,342,026</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15</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701,839</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74,298,161</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751,970</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74,248,030</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809,814</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74,190,186</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877,299</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74,122,701</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957,053</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74,042,947</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1,052,758</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73,947,242</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1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1,169,732</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73,830,268</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18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1,315,948</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73,684,052</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1,503,940</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73,496,060</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118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1,754,597</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73,245,403</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Borders>
              <w:bottom w:val="single" w:sz="8" w:color="auto"/>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bottom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2,105,516</w:t>
            </w:r>
          </w:p>
        </w:tc>
        <w:tc>
          <w:tcPr>
            <w:tcW w:w="1220" w:type="dxa"/>
            <w:vAlign w:val="bottom"/>
            <w:tcBorders>
              <w:bottom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72,894,484</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20" w:hanging="253"/>
        <w:spacing w:after="0"/>
        <w:tabs>
          <w:tab w:leader="none" w:pos="5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reserved for prefunded warrants that may be converted to Common Stock at the discretion of the holder.</w:t>
      </w:r>
    </w:p>
    <w:p>
      <w:pPr>
        <w:spacing w:after="0" w:line="55" w:lineRule="exact"/>
        <w:rPr>
          <w:rFonts w:ascii="Times New Roman" w:cs="Times New Roman" w:eastAsia="Times New Roman" w:hAnsi="Times New Roman"/>
          <w:sz w:val="30"/>
          <w:szCs w:val="30"/>
          <w:color w:val="auto"/>
          <w:vertAlign w:val="superscript"/>
        </w:rPr>
      </w:pPr>
    </w:p>
    <w:p>
      <w:pPr>
        <w:ind w:left="520" w:hanging="253"/>
        <w:spacing w:after="0" w:line="194" w:lineRule="auto"/>
        <w:tabs>
          <w:tab w:leader="none" w:pos="5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Shares reserved for Common Stock equivalent of convertible Preferred Stock.</w:t>
      </w:r>
    </w:p>
    <w:p>
      <w:pPr>
        <w:spacing w:after="0" w:line="42" w:lineRule="exact"/>
        <w:rPr>
          <w:rFonts w:ascii="Times New Roman" w:cs="Times New Roman" w:eastAsia="Times New Roman" w:hAnsi="Times New Roman"/>
          <w:sz w:val="23"/>
          <w:szCs w:val="23"/>
          <w:color w:val="auto"/>
          <w:vertAlign w:val="superscript"/>
        </w:rPr>
      </w:pPr>
    </w:p>
    <w:p>
      <w:pPr>
        <w:ind w:left="520" w:right="540" w:hanging="253"/>
        <w:spacing w:after="0" w:line="183" w:lineRule="auto"/>
        <w:tabs>
          <w:tab w:leader="none" w:pos="52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Shares reserved for future issuance pursuant to outstanding stock options under the Company's 2016 Equity Incentive Plan ("2016 Plan"), as amended.</w:t>
      </w:r>
    </w:p>
    <w:p>
      <w:pPr>
        <w:spacing w:after="0" w:line="144" w:lineRule="exact"/>
        <w:rPr>
          <w:sz w:val="20"/>
          <w:szCs w:val="20"/>
          <w:color w:val="auto"/>
        </w:rPr>
      </w:pPr>
    </w:p>
    <w:p>
      <w:pPr>
        <w:ind w:left="160" w:right="200"/>
        <w:spacing w:after="0" w:line="244" w:lineRule="auto"/>
        <w:rPr>
          <w:sz w:val="20"/>
          <w:szCs w:val="20"/>
          <w:color w:val="auto"/>
        </w:rPr>
      </w:pPr>
      <w:r>
        <w:rPr>
          <w:rFonts w:ascii="Times New Roman" w:cs="Times New Roman" w:eastAsia="Times New Roman" w:hAnsi="Times New Roman"/>
          <w:sz w:val="17"/>
          <w:szCs w:val="17"/>
          <w:color w:val="auto"/>
        </w:rPr>
        <w:t>The actual number of shares outstanding after giving effect to the Reverse Stock Split, if implemented, will depend on the reverse stock split ratio that is ultimately determined by the Board. The Reverse Stock Split would not change the par value of the Common Stock or the Preferred Stock. If any</w:t>
      </w:r>
    </w:p>
    <w:p>
      <w:pPr>
        <w:spacing w:after="0" w:line="1" w:lineRule="exact"/>
        <w:rPr>
          <w:sz w:val="20"/>
          <w:szCs w:val="20"/>
          <w:color w:val="auto"/>
        </w:rPr>
      </w:pPr>
    </w:p>
    <w:p>
      <w:pPr>
        <w:ind w:left="160" w:right="400"/>
        <w:spacing w:after="0" w:line="226" w:lineRule="auto"/>
        <w:rPr>
          <w:sz w:val="20"/>
          <w:szCs w:val="20"/>
          <w:color w:val="auto"/>
        </w:rPr>
      </w:pPr>
      <w:r>
        <w:rPr>
          <w:rFonts w:ascii="Times New Roman" w:cs="Times New Roman" w:eastAsia="Times New Roman" w:hAnsi="Times New Roman"/>
          <w:sz w:val="18"/>
          <w:szCs w:val="18"/>
          <w:color w:val="auto"/>
        </w:rPr>
        <w:t>stockholder would otherwise receive a fractional share of Common Stock as a result of the Reverse Stock Split, that stockholder will receive a cash payment in lieu of such fractional share.</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Reverse Stock Split Ratio</w:t>
      </w:r>
    </w:p>
    <w:p>
      <w:pPr>
        <w:spacing w:after="0" w:line="94" w:lineRule="exact"/>
        <w:rPr>
          <w:sz w:val="20"/>
          <w:szCs w:val="20"/>
          <w:color w:val="auto"/>
        </w:rPr>
      </w:pPr>
    </w:p>
    <w:p>
      <w:pPr>
        <w:ind w:left="160"/>
        <w:spacing w:after="0" w:line="236" w:lineRule="auto"/>
        <w:rPr>
          <w:sz w:val="20"/>
          <w:szCs w:val="20"/>
          <w:color w:val="auto"/>
        </w:rPr>
      </w:pPr>
      <w:r>
        <w:rPr>
          <w:rFonts w:ascii="Times New Roman" w:cs="Times New Roman" w:eastAsia="Times New Roman" w:hAnsi="Times New Roman"/>
          <w:sz w:val="17"/>
          <w:szCs w:val="17"/>
          <w:color w:val="auto"/>
        </w:rPr>
        <w:t>The purpose of a range for the Reverse Stock Split is to give the Board the flexibility to meet business needs as they arise, to take advantage of favorable opportunities and to respond to a changing investment environment, such as stock price fluctuations, higher inflation, higher interest rates and related</w:t>
      </w:r>
    </w:p>
    <w:p>
      <w:pPr>
        <w:ind w:left="160"/>
        <w:spacing w:after="0" w:line="219" w:lineRule="auto"/>
        <w:rPr>
          <w:sz w:val="20"/>
          <w:szCs w:val="20"/>
          <w:color w:val="auto"/>
        </w:rPr>
      </w:pPr>
      <w:r>
        <w:rPr>
          <w:rFonts w:ascii="Times New Roman" w:cs="Times New Roman" w:eastAsia="Times New Roman" w:hAnsi="Times New Roman"/>
          <w:sz w:val="18"/>
          <w:szCs w:val="18"/>
          <w:color w:val="auto"/>
        </w:rPr>
        <w:t>factors. In determining which reverse stock split ratio to implement, if any, following receipt of stockholder approval of the Amendment to effect the</w:t>
      </w:r>
    </w:p>
    <w:p>
      <w:pPr>
        <w:ind w:left="160"/>
        <w:spacing w:after="0"/>
        <w:rPr>
          <w:sz w:val="20"/>
          <w:szCs w:val="20"/>
          <w:color w:val="auto"/>
        </w:rPr>
      </w:pPr>
      <w:r>
        <w:rPr>
          <w:rFonts w:ascii="Times New Roman" w:cs="Times New Roman" w:eastAsia="Times New Roman" w:hAnsi="Times New Roman"/>
          <w:sz w:val="18"/>
          <w:szCs w:val="18"/>
          <w:color w:val="auto"/>
        </w:rPr>
        <w:t>Reverse Stock Split, the Board may consider, among other things, various factors, such as:</w:t>
      </w:r>
    </w:p>
    <w:p>
      <w:pPr>
        <w:spacing w:after="0" w:line="57" w:lineRule="exact"/>
        <w:rPr>
          <w:sz w:val="20"/>
          <w:szCs w:val="20"/>
          <w:color w:val="auto"/>
        </w:rPr>
      </w:pPr>
    </w:p>
    <w:p>
      <w:pPr>
        <w:ind w:left="1040" w:hanging="39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historical and expected trading prices and trading volumes of our Common Stock;</w:t>
      </w:r>
    </w:p>
    <w:p>
      <w:pPr>
        <w:spacing w:after="0" w:line="15" w:lineRule="exact"/>
        <w:rPr>
          <w:rFonts w:ascii="Times New Roman" w:cs="Times New Roman" w:eastAsia="Times New Roman" w:hAnsi="Times New Roman"/>
          <w:sz w:val="16"/>
          <w:szCs w:val="16"/>
          <w:color w:val="auto"/>
        </w:rPr>
      </w:pPr>
    </w:p>
    <w:p>
      <w:pPr>
        <w:ind w:left="1040" w:hanging="397"/>
        <w:spacing w:after="0" w:line="219"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Nasdaq Capital Market Continued Listing Standards requirements;</w:t>
      </w:r>
    </w:p>
    <w:p>
      <w:pPr>
        <w:ind w:left="1040" w:hanging="397"/>
        <w:spacing w:after="0" w:line="219"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of shares of our Common Stock outstanding;</w:t>
      </w:r>
    </w:p>
    <w:p>
      <w:pPr>
        <w:ind w:left="1040" w:right="320" w:hanging="397"/>
        <w:spacing w:after="0" w:line="226"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then-prevailing trading prices and trading volumes of our Common Stock and the expected impact of the Reverse Stock Split on the trading market for our Common Stock in the short- and long-term;</w:t>
      </w:r>
    </w:p>
    <w:p>
      <w:pPr>
        <w:spacing w:after="0" w:line="1" w:lineRule="exact"/>
        <w:rPr>
          <w:rFonts w:ascii="Times New Roman" w:cs="Times New Roman" w:eastAsia="Times New Roman" w:hAnsi="Times New Roman"/>
          <w:sz w:val="16"/>
          <w:szCs w:val="16"/>
          <w:color w:val="auto"/>
        </w:rPr>
      </w:pPr>
    </w:p>
    <w:p>
      <w:pPr>
        <w:ind w:left="1040" w:hanging="397"/>
        <w:spacing w:after="0" w:line="219"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overall trends in the stock market;</w:t>
      </w:r>
    </w:p>
    <w:p>
      <w:pPr>
        <w:ind w:left="1040" w:hanging="397"/>
        <w:spacing w:after="0" w:line="234"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w:t>
      </w:r>
    </w:p>
    <w:p>
      <w:pPr>
        <w:ind w:left="1040" w:hanging="397"/>
        <w:spacing w:after="0" w:line="219" w:lineRule="auto"/>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business developments and our actual and projected financial performance; and</w:t>
      </w:r>
    </w:p>
    <w:p>
      <w:pPr>
        <w:ind w:left="1040" w:hanging="397"/>
        <w:spacing w:after="0"/>
        <w:tabs>
          <w:tab w:leader="none" w:pos="10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prevailing general market and economic conditions.</w:t>
      </w:r>
    </w:p>
    <w:p>
      <w:pPr>
        <w:spacing w:after="0" w:line="165" w:lineRule="exact"/>
        <w:rPr>
          <w:sz w:val="20"/>
          <w:szCs w:val="20"/>
          <w:color w:val="auto"/>
        </w:rPr>
      </w:pPr>
    </w:p>
    <w:p>
      <w:pPr>
        <w:ind w:left="160" w:right="260"/>
        <w:spacing w:after="0" w:line="230" w:lineRule="auto"/>
        <w:rPr>
          <w:sz w:val="20"/>
          <w:szCs w:val="20"/>
          <w:color w:val="auto"/>
        </w:rPr>
      </w:pPr>
      <w:r>
        <w:rPr>
          <w:rFonts w:ascii="Times New Roman" w:cs="Times New Roman" w:eastAsia="Times New Roman" w:hAnsi="Times New Roman"/>
          <w:sz w:val="18"/>
          <w:szCs w:val="18"/>
          <w:color w:val="auto"/>
        </w:rPr>
        <w:t>Our Board reserves the right to abandon the Reverse Stock Split without further action by our stockholders at any time before the effectiveness of the filing with the Delaware Secretary of the State of the Amendment, even if the authority to effect a Reverse Stock Split has been approved by our</w:t>
      </w:r>
    </w:p>
    <w:p>
      <w:pPr>
        <w:spacing w:after="0" w:line="1" w:lineRule="exact"/>
        <w:rPr>
          <w:sz w:val="20"/>
          <w:szCs w:val="20"/>
          <w:color w:val="auto"/>
        </w:rPr>
      </w:pPr>
    </w:p>
    <w:p>
      <w:pPr>
        <w:ind w:left="160" w:right="200"/>
        <w:spacing w:after="0" w:line="223" w:lineRule="auto"/>
        <w:rPr>
          <w:sz w:val="20"/>
          <w:szCs w:val="20"/>
          <w:color w:val="auto"/>
        </w:rPr>
      </w:pPr>
      <w:r>
        <w:rPr>
          <w:rFonts w:ascii="Times New Roman" w:cs="Times New Roman" w:eastAsia="Times New Roman" w:hAnsi="Times New Roman"/>
          <w:sz w:val="17"/>
          <w:szCs w:val="17"/>
          <w:color w:val="auto"/>
        </w:rPr>
        <w:t>stockholders at the Annual Meeting. If the Reverse Stock Split Proposal is approved, we could effect the Reverse Stock Split at any time after the Annual Meeting until July 31, 2026. By voting in favor of the Reverse Stock Split Proposal, you are expressly also authorizing the Board to delay, not</w:t>
      </w:r>
    </w:p>
    <w:p>
      <w:pPr>
        <w:spacing w:after="0" w:line="1" w:lineRule="exact"/>
        <w:rPr>
          <w:sz w:val="20"/>
          <w:szCs w:val="20"/>
          <w:color w:val="auto"/>
        </w:rPr>
      </w:pPr>
    </w:p>
    <w:p>
      <w:pPr>
        <w:ind w:left="160" w:right="760"/>
        <w:spacing w:after="0" w:line="226" w:lineRule="auto"/>
        <w:rPr>
          <w:sz w:val="20"/>
          <w:szCs w:val="20"/>
          <w:color w:val="auto"/>
        </w:rPr>
      </w:pPr>
      <w:r>
        <w:rPr>
          <w:rFonts w:ascii="Times New Roman" w:cs="Times New Roman" w:eastAsia="Times New Roman" w:hAnsi="Times New Roman"/>
          <w:sz w:val="18"/>
          <w:szCs w:val="18"/>
          <w:color w:val="auto"/>
        </w:rPr>
        <w:t>to proceed with, and abandon, the Reverse Stock Split if it should so decide, in its sole discretion, that such action is in the best interests of the stockholders.</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Effectiveness of Reverse Stock Split</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Reverse Stock Split would become effective at the effective time set forth in the Amendment (the “Effective Time”).</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Stock Split</w:t>
      </w:r>
    </w:p>
    <w:p>
      <w:pPr>
        <w:spacing w:after="0" w:line="9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If Proposal 3 is approved by our stockholders, our Board retains the discretion to effect the Reverse Stock Split at any time prior to July 31, 2026 or not at all. Our Board will determine whether such an action is in the best interests of the Company and our stockholders, taking into consideration the</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factors discussed above and any other factors it considers relevant. The Reverse Stock Split would be implemented by filing the Amendment with the Secretary of the State of Delaware, setting forth the ratio used in the Reverse Stock Split</w:t>
      </w:r>
    </w:p>
    <w:p>
      <w:pPr>
        <w:spacing w:after="0" w:line="14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If the Reverse Stock Split is effected, then after the Effective Time, our Common Stock will have a new Committee on Uniform Securities Identification Procedures (“CUSIP”) number, which is a number used to identify our equity securities, and stock certificates and the older CUSIP number will need to</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be exchanged for stock certificates with the new CUSIP number by following the procedures described below. Our Common Stock will continue to be listed on the Nasdaq Capital Market under the symbol “AQB” subject to any future change of listing of our securities.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Principal Effects of the Amendment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 — General</w:t>
      </w:r>
    </w:p>
    <w:p>
      <w:pPr>
        <w:spacing w:after="0" w:line="94"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The Reverse Stock Split, if implemented by the Board, will reduce the total number of outstanding shares of Common Stock based on the split ratio determined by the Board in its discretion, and it will apply automatically to all shares of our Common Stock, including shares held by the Company in</w:t>
      </w:r>
    </w:p>
    <w:p>
      <w:pPr>
        <w:spacing w:after="0" w:line="219" w:lineRule="auto"/>
        <w:rPr>
          <w:sz w:val="20"/>
          <w:szCs w:val="20"/>
          <w:color w:val="auto"/>
        </w:rPr>
      </w:pPr>
      <w:r>
        <w:rPr>
          <w:rFonts w:ascii="Times New Roman" w:cs="Times New Roman" w:eastAsia="Times New Roman" w:hAnsi="Times New Roman"/>
          <w:sz w:val="18"/>
          <w:szCs w:val="18"/>
          <w:color w:val="auto"/>
        </w:rPr>
        <w:t>treasury, shares issuable upon the exercise or conversion of outstanding warrants, Preferred Stock, stock options, and other equity securities. The</w:t>
      </w:r>
    </w:p>
    <w:p>
      <w:pPr>
        <w:ind w:right="200"/>
        <w:spacing w:after="0" w:line="223" w:lineRule="auto"/>
        <w:rPr>
          <w:sz w:val="20"/>
          <w:szCs w:val="20"/>
          <w:color w:val="auto"/>
        </w:rPr>
      </w:pPr>
      <w:r>
        <w:rPr>
          <w:rFonts w:ascii="Times New Roman" w:cs="Times New Roman" w:eastAsia="Times New Roman" w:hAnsi="Times New Roman"/>
          <w:sz w:val="17"/>
          <w:szCs w:val="17"/>
          <w:color w:val="auto"/>
        </w:rPr>
        <w:t>Reverse Stock Split would be effected simultaneously for all shares of our Common Stock, and the split ratio would be the same for all shares of Common Stock. The Reverse Stock Split would affect all of our stockholders uniformly and would not affect any stockholder’s percentage ownership</w:t>
      </w:r>
    </w:p>
    <w:p>
      <w:pPr>
        <w:spacing w:after="0" w:line="1" w:lineRule="exact"/>
        <w:rPr>
          <w:sz w:val="20"/>
          <w:szCs w:val="20"/>
          <w:color w:val="auto"/>
        </w:rPr>
      </w:pPr>
    </w:p>
    <w:p>
      <w:pPr>
        <w:ind w:right="980"/>
        <w:spacing w:after="0" w:line="226" w:lineRule="auto"/>
        <w:rPr>
          <w:sz w:val="20"/>
          <w:szCs w:val="20"/>
          <w:color w:val="auto"/>
        </w:rPr>
      </w:pPr>
      <w:r>
        <w:rPr>
          <w:rFonts w:ascii="Times New Roman" w:cs="Times New Roman" w:eastAsia="Times New Roman" w:hAnsi="Times New Roman"/>
          <w:sz w:val="18"/>
          <w:szCs w:val="18"/>
          <w:color w:val="auto"/>
        </w:rPr>
        <w:t>interests in the Company, except with respect to the treatment of fractional shares. The principal effect of the Reverse Stock Split will be to proportionately decrease the number of outstanding shares of our Common Stock based on the split ratio selected by our Board.</w:t>
      </w:r>
    </w:p>
    <w:p>
      <w:pPr>
        <w:spacing w:after="0" w:line="14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Voting rights and other rights of the holders of our Common Stock will not be affected by the Reverse Stock Split, other than as a result of the treatment of fractional shares. The number of stockholders of record will not be affected by the Reverse Stock Split. If approved and implemented, the Reverse</w:t>
      </w:r>
    </w:p>
    <w:p>
      <w:pPr>
        <w:spacing w:after="0" w:line="1"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Stock Split may result in some stockholders owning “odd lots” of less than 100 shares of our Common Stock. Odd lot shares may be more difficult to sell, and brokerage commissions and other costs of transactions in odd lots are generally somewhat higher than the costs of transactions in “round lots”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even multiples of 100 shares. Our Board believes, however, that these potential effects are outweighed by the benefits of the Reverse Stock Split.</w:t>
      </w:r>
    </w:p>
    <w:p>
      <w:pPr>
        <w:spacing w:after="0" w:line="15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of 1934, as amended (the “Exchange Act”), and we are subject to the periodic reporting and other requirements of the Exchange Act. After the Reverse Stock Split, we will continue to be subject to the</w:t>
      </w:r>
    </w:p>
    <w:p>
      <w:pPr>
        <w:spacing w:after="0" w:line="2"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8"/>
          <w:szCs w:val="18"/>
          <w:color w:val="auto"/>
        </w:rPr>
        <w:t>periodic reporting and other requirements of the Exchange Act. The Reverse Stock Split would not affect our securities law reporting and disclosure obligations, and we would continue to be subject to the periodic reporting requirements of the Exchange 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urged to consult your own tax advisors to determine the tax consequences to you of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Delaware law, our stockholders will not be entitled to exercise dissenter’s or appraisal rights with respect to the Reverse Stock Split.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Number of Shares of Common Stock Available for Future Issuance</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The Reverse Stock Split will result in a reduction of the total outstanding shares of Common Stock and shares reserved for issuance under outstanding warrants, Preferred Stock conversion, stock options, and other equity securities. The number of shares of Common Stock and Preferred Stock authorized</w:t>
      </w:r>
    </w:p>
    <w:p>
      <w:pPr>
        <w:spacing w:after="0" w:line="233" w:lineRule="auto"/>
        <w:rPr>
          <w:sz w:val="20"/>
          <w:szCs w:val="20"/>
          <w:color w:val="auto"/>
        </w:rPr>
      </w:pPr>
      <w:r>
        <w:rPr>
          <w:rFonts w:ascii="Times New Roman" w:cs="Times New Roman" w:eastAsia="Times New Roman" w:hAnsi="Times New Roman"/>
          <w:sz w:val="18"/>
          <w:szCs w:val="18"/>
          <w:color w:val="auto"/>
        </w:rPr>
        <w:t>for issuance will not change due to the Reverse Share Split. Accordingly, the Reverse Share Split will have the effect of increasing the number of shares of Common Stock authorized for issuance relative to the number of shares outstanding.</w:t>
      </w:r>
    </w:p>
    <w:p>
      <w:pPr>
        <w:spacing w:after="0" w:line="14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We expect to need to raise additional capital to fund our operations and our evolving strategy. The relative increase in the number of shares of Common Stock available to be issued is designed to enable us to raise additional capital in the future via equity and convertible debt financings, as well as to meet</w:t>
      </w:r>
    </w:p>
    <w:p>
      <w:pPr>
        <w:spacing w:after="0" w:line="223" w:lineRule="auto"/>
        <w:rPr>
          <w:sz w:val="20"/>
          <w:szCs w:val="20"/>
          <w:color w:val="auto"/>
        </w:rPr>
      </w:pPr>
      <w:r>
        <w:rPr>
          <w:rFonts w:ascii="Times New Roman" w:cs="Times New Roman" w:eastAsia="Times New Roman" w:hAnsi="Times New Roman"/>
          <w:sz w:val="17"/>
          <w:szCs w:val="17"/>
          <w:color w:val="auto"/>
        </w:rPr>
        <w:t>our obligations under outstanding warrants, stock options, and our equity compensation plans, while retaining flexibility to respond to other future business needs and opportunities. In the event that our Board determines to issue additional shares of Common Stock (or securities convertible therefor),</w:t>
      </w:r>
    </w:p>
    <w:p>
      <w:pPr>
        <w:spacing w:after="0" w:line="1" w:lineRule="exact"/>
        <w:rPr>
          <w:sz w:val="20"/>
          <w:szCs w:val="20"/>
          <w:color w:val="auto"/>
        </w:rPr>
      </w:pPr>
    </w:p>
    <w:p>
      <w:pPr>
        <w:ind w:right="200"/>
        <w:spacing w:after="0" w:line="212" w:lineRule="auto"/>
        <w:rPr>
          <w:sz w:val="20"/>
          <w:szCs w:val="20"/>
          <w:color w:val="auto"/>
        </w:rPr>
      </w:pPr>
      <w:r>
        <w:rPr>
          <w:rFonts w:ascii="Times New Roman" w:cs="Times New Roman" w:eastAsia="Times New Roman" w:hAnsi="Times New Roman"/>
          <w:sz w:val="18"/>
          <w:szCs w:val="18"/>
          <w:color w:val="auto"/>
        </w:rPr>
        <w:t>it intends, in accordance with its fiduciary duties, to issue any such shares on terms that it considers to be in the best interests of the Company and our stockholders.</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333"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Such shares could be issued directly, or could be reserved for issuance and then issued pursuant to the exercise of options, warrants, restricted stock units,</w:t>
      </w:r>
    </w:p>
    <w:p>
      <w:pPr>
        <w:spacing w:after="0" w:line="14"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or other equity securities that we may issue in the future. The additional issuable authorized shares would enable us to issue shares in the future in a timely manner and under circumstances we consider favorable without incurring the risk, delay and potential expense incident to obtaining stockholder</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approval for a particular issuance. For example, the shares may be used for: capital raising transactions involving equity or convertible debt securities; providing equity incentives to employees, directors, consultants or advisors under equity incentive plans or otherwise; establishing strategic relationships</w:t>
      </w:r>
    </w:p>
    <w:p>
      <w:pPr>
        <w:spacing w:after="0" w:line="1" w:lineRule="exact"/>
        <w:rPr>
          <w:sz w:val="20"/>
          <w:szCs w:val="20"/>
          <w:color w:val="auto"/>
        </w:rPr>
      </w:pPr>
    </w:p>
    <w:p>
      <w:pPr>
        <w:ind w:right="460"/>
        <w:spacing w:after="0" w:line="233" w:lineRule="auto"/>
        <w:rPr>
          <w:sz w:val="20"/>
          <w:szCs w:val="20"/>
          <w:color w:val="auto"/>
        </w:rPr>
      </w:pPr>
      <w:r>
        <w:rPr>
          <w:rFonts w:ascii="Times New Roman" w:cs="Times New Roman" w:eastAsia="Times New Roman" w:hAnsi="Times New Roman"/>
          <w:sz w:val="18"/>
          <w:szCs w:val="18"/>
          <w:color w:val="auto"/>
        </w:rPr>
        <w:t>with other companies and other potential strategic transactions; expanding our business through the acquisition of other businesses, technologies or products; stockholder right plans; stock splits or stock dividends; other corporate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Proposal 3 is approved, we may issue additional shares of Common Stock or securities convertible into or exercisable for shares of Common</w:t>
      </w:r>
    </w:p>
    <w:p>
      <w:pPr>
        <w:spacing w:after="0" w:line="2" w:lineRule="exact"/>
        <w:rPr>
          <w:sz w:val="20"/>
          <w:szCs w:val="20"/>
          <w:color w:val="auto"/>
        </w:rPr>
      </w:pPr>
    </w:p>
    <w:p>
      <w:pPr>
        <w:ind w:right="300"/>
        <w:spacing w:after="0" w:line="223" w:lineRule="auto"/>
        <w:rPr>
          <w:sz w:val="20"/>
          <w:szCs w:val="20"/>
          <w:color w:val="auto"/>
        </w:rPr>
      </w:pPr>
      <w:r>
        <w:rPr>
          <w:rFonts w:ascii="Times New Roman" w:cs="Times New Roman" w:eastAsia="Times New Roman" w:hAnsi="Times New Roman"/>
          <w:sz w:val="17"/>
          <w:szCs w:val="17"/>
          <w:color w:val="auto"/>
        </w:rPr>
        <w:t>Stock from time to time in the future, including pursuant to our registration statements previously filed with the SEC or new registration statements that we may file in the future, and to the extent that we do so, the shareholdings of our existing stockholders will be diluted by such issuances and the</w:t>
      </w:r>
    </w:p>
    <w:p>
      <w:pPr>
        <w:spacing w:after="0" w:line="1" w:lineRule="exact"/>
        <w:rPr>
          <w:sz w:val="20"/>
          <w:szCs w:val="20"/>
          <w:color w:val="auto"/>
        </w:rPr>
      </w:pPr>
    </w:p>
    <w:p>
      <w:pPr>
        <w:ind w:right="420"/>
        <w:spacing w:after="0" w:line="223" w:lineRule="auto"/>
        <w:rPr>
          <w:sz w:val="20"/>
          <w:szCs w:val="20"/>
          <w:color w:val="auto"/>
        </w:rPr>
      </w:pPr>
      <w:r>
        <w:rPr>
          <w:rFonts w:ascii="Times New Roman" w:cs="Times New Roman" w:eastAsia="Times New Roman" w:hAnsi="Times New Roman"/>
          <w:sz w:val="17"/>
          <w:szCs w:val="17"/>
          <w:color w:val="auto"/>
        </w:rPr>
        <w:t>share price of our common stock may be depressed. We currently cannot estimate the number of shares of Common Stock that may be issued in the future in any such fundraising transaction, as the number of shares would depend on a number of factors including the trading price of the Common</w:t>
      </w:r>
    </w:p>
    <w:p>
      <w:pPr>
        <w:spacing w:after="0" w:line="220" w:lineRule="auto"/>
        <w:rPr>
          <w:sz w:val="20"/>
          <w:szCs w:val="20"/>
          <w:color w:val="auto"/>
        </w:rPr>
      </w:pPr>
      <w:r>
        <w:rPr>
          <w:rFonts w:ascii="Times New Roman" w:cs="Times New Roman" w:eastAsia="Times New Roman" w:hAnsi="Times New Roman"/>
          <w:sz w:val="18"/>
          <w:szCs w:val="18"/>
          <w:color w:val="auto"/>
        </w:rPr>
        <w:t>Stock at the time of any such financing, the amount of capital the Company is able to raise, the Company’s need for capital, the terms of any such</w:t>
      </w:r>
    </w:p>
    <w:p>
      <w:pPr>
        <w:ind w:right="320"/>
        <w:spacing w:after="0" w:line="223" w:lineRule="auto"/>
        <w:rPr>
          <w:sz w:val="20"/>
          <w:szCs w:val="20"/>
          <w:color w:val="auto"/>
        </w:rPr>
      </w:pPr>
      <w:r>
        <w:rPr>
          <w:rFonts w:ascii="Times New Roman" w:cs="Times New Roman" w:eastAsia="Times New Roman" w:hAnsi="Times New Roman"/>
          <w:sz w:val="17"/>
          <w:szCs w:val="17"/>
          <w:color w:val="auto"/>
        </w:rPr>
        <w:t>transaction, and general market conditions. Except for a stock split or stock dividend, future issuances of shares of our Common Stock will dilute the voting power and ownership of our existing stockholders and, depending on the amount of consideration received in connection with the issuance,</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could also reduce stockholders’ equity on a per share basis. If the Board authorizes the issuance of additional shares after the Reverse Stock Split, the dilution to the ownership interest of our existing stockholders may be greater than would occur had the Reverse Stock Split not been effected.</w:t>
      </w:r>
    </w:p>
    <w:p>
      <w:pPr>
        <w:spacing w:after="0" w:line="15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We have engaged an exclusive financial advisor and sole placement agent to explore a wide range of transactions, including, without limitation, a transaction involving a co-investment by us with one or more non-affiliated entities and a private placement of our equity or equity-linked securities to a</w:t>
      </w:r>
    </w:p>
    <w:p>
      <w:pPr>
        <w:ind w:right="100"/>
        <w:spacing w:after="0" w:line="223" w:lineRule="auto"/>
        <w:rPr>
          <w:sz w:val="20"/>
          <w:szCs w:val="20"/>
          <w:color w:val="auto"/>
        </w:rPr>
      </w:pPr>
      <w:r>
        <w:rPr>
          <w:rFonts w:ascii="Times New Roman" w:cs="Times New Roman" w:eastAsia="Times New Roman" w:hAnsi="Times New Roman"/>
          <w:sz w:val="17"/>
          <w:szCs w:val="17"/>
          <w:color w:val="auto"/>
        </w:rPr>
        <w:t>limited number of sophisticated investors, that could result in the issuance of Common Stock, as they arise or as our needs require, which could occur promptly following the effectiveness of the Amendment. However, we have no current agreement or commitment to issue additional shares of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except for issuances of Common Stock upon the exercise of outstanding warrants, stock options and conversion of Preferred Stock.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Warrants, Stock Options, Restricted Stock Units, and other Equity Securities</w:t>
      </w:r>
    </w:p>
    <w:p>
      <w:pPr>
        <w:spacing w:after="0" w:line="226" w:lineRule="auto"/>
        <w:rPr>
          <w:sz w:val="20"/>
          <w:szCs w:val="20"/>
          <w:color w:val="auto"/>
        </w:rPr>
      </w:pPr>
      <w:r>
        <w:rPr>
          <w:rFonts w:ascii="Times New Roman" w:cs="Times New Roman" w:eastAsia="Times New Roman" w:hAnsi="Times New Roman"/>
          <w:sz w:val="18"/>
          <w:szCs w:val="18"/>
          <w:color w:val="auto"/>
        </w:rPr>
        <w:t>Based upon the split ratio determined by the Board, proportionate adjustments are generally required to be made to the per share exercise price and the</w:t>
      </w:r>
    </w:p>
    <w:p>
      <w:pPr>
        <w:ind w:right="200"/>
        <w:spacing w:after="0" w:line="223" w:lineRule="auto"/>
        <w:rPr>
          <w:sz w:val="20"/>
          <w:szCs w:val="20"/>
          <w:color w:val="auto"/>
        </w:rPr>
      </w:pPr>
      <w:r>
        <w:rPr>
          <w:rFonts w:ascii="Times New Roman" w:cs="Times New Roman" w:eastAsia="Times New Roman" w:hAnsi="Times New Roman"/>
          <w:sz w:val="17"/>
          <w:szCs w:val="17"/>
          <w:color w:val="auto"/>
        </w:rPr>
        <w:t>number of shares issuable upon the exercise or conversion of all outstanding warrants, Preferred Stock, stock options, and other equity securities entitling the holders to acquire, purchase, exchange for, or convert into, shares of Common Stock, including, without limitation, any awards previously</w:t>
      </w:r>
    </w:p>
    <w:p>
      <w:pPr>
        <w:spacing w:after="0" w:line="1"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granted under our 2016 Plan. Additionally, the exercise prices of outstanding stock options would increase, likewise in proportion to the reverse stock split ratio. This would result in approximately the same aggregate price being required to be paid under such stock options upon such exercise,</w:t>
      </w:r>
    </w:p>
    <w:p>
      <w:pPr>
        <w:spacing w:after="0" w:line="1"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immediately following the Reverse Stock Split as was the case immediately preceding the Reverse Stock Split. The number of shares deliverable upon settlement or vesting of restricted stock units or other equity securities will be similarly adjusted, subject in all cases to our treatment of fractional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Preferred Stock</w:t>
      </w:r>
    </w:p>
    <w:p>
      <w:pPr>
        <w:spacing w:after="0" w:line="94" w:lineRule="exact"/>
        <w:rPr>
          <w:sz w:val="20"/>
          <w:szCs w:val="20"/>
          <w:color w:val="auto"/>
        </w:rPr>
      </w:pPr>
    </w:p>
    <w:p>
      <w:pPr>
        <w:ind w:right="460"/>
        <w:spacing w:after="0" w:line="230" w:lineRule="auto"/>
        <w:rPr>
          <w:sz w:val="20"/>
          <w:szCs w:val="20"/>
          <w:color w:val="auto"/>
        </w:rPr>
      </w:pPr>
      <w:r>
        <w:rPr>
          <w:rFonts w:ascii="Times New Roman" w:cs="Times New Roman" w:eastAsia="Times New Roman" w:hAnsi="Times New Roman"/>
          <w:sz w:val="18"/>
          <w:szCs w:val="18"/>
          <w:color w:val="auto"/>
        </w:rPr>
        <w:t>If we implement a Reverse Stock Split, the conversion rate of any outstanding shares of our Preferred Stock that are convertible into Common Stock will be proportionately adjusted in accordance with the terms of the applicable certificate of designation so that the number of shares of</w:t>
      </w:r>
    </w:p>
    <w:p>
      <w:pPr>
        <w:spacing w:after="0" w:line="1" w:lineRule="exact"/>
        <w:rPr>
          <w:sz w:val="20"/>
          <w:szCs w:val="20"/>
          <w:color w:val="auto"/>
        </w:rPr>
      </w:pPr>
    </w:p>
    <w:p>
      <w:pPr>
        <w:ind w:right="480"/>
        <w:spacing w:after="0" w:line="211" w:lineRule="auto"/>
        <w:rPr>
          <w:sz w:val="20"/>
          <w:szCs w:val="20"/>
          <w:color w:val="auto"/>
        </w:rPr>
      </w:pPr>
      <w:r>
        <w:rPr>
          <w:rFonts w:ascii="Times New Roman" w:cs="Times New Roman" w:eastAsia="Times New Roman" w:hAnsi="Times New Roman"/>
          <w:sz w:val="18"/>
          <w:szCs w:val="18"/>
          <w:color w:val="auto"/>
        </w:rPr>
        <w:t>Common Stock issuable upon conversion after the Reverse Stock Split will reflect the same economic ratio as immediately prior to the Reverse Stock Split. Any corresponding adjustments to conversion prices will also be made proportionately based on the Reverse Stock Split ratio. Except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proportional adjustments, the rights, preferences, and privileges of the preferred stock will be unchanged.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Record and Beneficial Holders</w:t>
      </w:r>
    </w:p>
    <w:p>
      <w:pPr>
        <w:spacing w:after="0" w:line="9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If this Proposal 3 is approved by our stockholders and our Board elects to implement a Reverse Stock Split, stockholders of record holding all of their shares of Common Stock electronically in book-entry form under the direct registration system for securities will be exchanged by the exchange agent</w:t>
      </w:r>
    </w:p>
    <w:p>
      <w:pPr>
        <w:spacing w:after="0" w:line="1" w:lineRule="exact"/>
        <w:rPr>
          <w:sz w:val="20"/>
          <w:szCs w:val="20"/>
          <w:color w:val="auto"/>
        </w:rPr>
      </w:pPr>
    </w:p>
    <w:p>
      <w:pPr>
        <w:ind w:right="260"/>
        <w:spacing w:after="0" w:line="223" w:lineRule="auto"/>
        <w:rPr>
          <w:sz w:val="20"/>
          <w:szCs w:val="20"/>
          <w:color w:val="auto"/>
        </w:rPr>
      </w:pPr>
      <w:r>
        <w:rPr>
          <w:rFonts w:ascii="Times New Roman" w:cs="Times New Roman" w:eastAsia="Times New Roman" w:hAnsi="Times New Roman"/>
          <w:sz w:val="17"/>
          <w:szCs w:val="17"/>
          <w:color w:val="auto"/>
        </w:rPr>
        <w:t>and will receive a transaction statement at their address of record indicating the number of new post-split shares of Common Stock they hold after the Reverse Stock Split. Non-registered stockholders holding Common Stock through a broker and/or other nominee should note that such brokers and/or</w:t>
      </w:r>
    </w:p>
    <w:p>
      <w:pPr>
        <w:spacing w:after="0" w:line="1" w:lineRule="exact"/>
        <w:rPr>
          <w:sz w:val="20"/>
          <w:szCs w:val="20"/>
          <w:color w:val="auto"/>
        </w:rPr>
      </w:pPr>
    </w:p>
    <w:p>
      <w:pPr>
        <w:ind w:right="300"/>
        <w:spacing w:after="0" w:line="223" w:lineRule="auto"/>
        <w:rPr>
          <w:sz w:val="20"/>
          <w:szCs w:val="20"/>
          <w:color w:val="auto"/>
        </w:rPr>
      </w:pPr>
      <w:r>
        <w:rPr>
          <w:rFonts w:ascii="Times New Roman" w:cs="Times New Roman" w:eastAsia="Times New Roman" w:hAnsi="Times New Roman"/>
          <w:sz w:val="17"/>
          <w:szCs w:val="17"/>
          <w:color w:val="auto"/>
        </w:rPr>
        <w:t>other nominees may have different procedures for processing the Reverse Stock Split than those that would be put in place by us for registered stockholders. If you hold your shares with such a broker and/or other nominee and if you have questions in this regard, you are encouraged to contact</w:t>
      </w:r>
    </w:p>
    <w:p>
      <w:pPr>
        <w:spacing w:after="0" w:line="207" w:lineRule="auto"/>
        <w:rPr>
          <w:sz w:val="20"/>
          <w:szCs w:val="20"/>
          <w:color w:val="auto"/>
        </w:rPr>
      </w:pPr>
      <w:r>
        <w:rPr>
          <w:rFonts w:ascii="Times New Roman" w:cs="Times New Roman" w:eastAsia="Times New Roman" w:hAnsi="Times New Roman"/>
          <w:sz w:val="18"/>
          <w:szCs w:val="18"/>
          <w:color w:val="auto"/>
        </w:rPr>
        <w:t>your broker and/or other nominee.</w:t>
      </w:r>
    </w:p>
    <w:p>
      <w:pPr>
        <w:spacing w:after="0" w:line="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347980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0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If this Proposal 3 is approved by our stockholders and our Board elects to implement a Reverse Stock Split, stockholders of record holding some or all</w:t>
      </w:r>
    </w:p>
    <w:p>
      <w:pPr>
        <w:spacing w:after="0" w:line="2"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color w:val="auto"/>
        </w:rPr>
        <w:t>of their shares in certificate form will receive a letter of transmittal from the Company or its exchange agent, as soon as reasonably practicable after the effective date of the Reverse Stock Split. Our transfer agent is expected to act as “exchange agent” for the purpose of implementing the exchange of</w:t>
      </w:r>
    </w:p>
    <w:p>
      <w:pPr>
        <w:spacing w:after="0" w:line="220" w:lineRule="auto"/>
        <w:rPr>
          <w:sz w:val="20"/>
          <w:szCs w:val="20"/>
          <w:color w:val="auto"/>
        </w:rPr>
      </w:pPr>
      <w:r>
        <w:rPr>
          <w:rFonts w:ascii="Times New Roman" w:cs="Times New Roman" w:eastAsia="Times New Roman" w:hAnsi="Times New Roman"/>
          <w:sz w:val="18"/>
          <w:szCs w:val="18"/>
          <w:color w:val="auto"/>
        </w:rPr>
        <w:t>stock certificates. Holders of pre-Reverse Stock Split shares will be asked to surrender to the exchange agent certificates representing pre-Reverse</w:t>
      </w:r>
    </w:p>
    <w:p>
      <w:pPr>
        <w:ind w:right="60"/>
        <w:spacing w:after="0" w:line="211" w:lineRule="auto"/>
        <w:rPr>
          <w:sz w:val="20"/>
          <w:szCs w:val="20"/>
          <w:color w:val="auto"/>
        </w:rPr>
      </w:pPr>
      <w:r>
        <w:rPr>
          <w:rFonts w:ascii="Times New Roman" w:cs="Times New Roman" w:eastAsia="Times New Roman" w:hAnsi="Times New Roman"/>
          <w:sz w:val="18"/>
          <w:szCs w:val="18"/>
          <w:color w:val="auto"/>
        </w:rPr>
        <w:t>Stock Split shares in exchange for post-Reverse Stock Split shares in accordance with the procedures to be set forth in the letter of transmittal. No new post- Reverse Stock Split share certificates will be issued to a stockholder until such stockholder has surrendered such stockholder’s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together with the properly completed and executed letter of transmittal to the exchange agent.</w:t>
      </w:r>
    </w:p>
    <w:p>
      <w:pPr>
        <w:spacing w:after="0" w:line="147" w:lineRule="exact"/>
        <w:rPr>
          <w:sz w:val="20"/>
          <w:szCs w:val="20"/>
          <w:color w:val="auto"/>
        </w:rPr>
      </w:pPr>
    </w:p>
    <w:p>
      <w:pPr>
        <w:ind w:left="2980" w:right="660" w:hanging="2622"/>
        <w:spacing w:after="0" w:line="255" w:lineRule="auto"/>
        <w:rPr>
          <w:sz w:val="20"/>
          <w:szCs w:val="20"/>
          <w:color w:val="auto"/>
        </w:rPr>
      </w:pPr>
      <w:r>
        <w:rPr>
          <w:rFonts w:ascii="Times New Roman" w:cs="Times New Roman" w:eastAsia="Times New Roman" w:hAnsi="Times New Roman"/>
          <w:sz w:val="18"/>
          <w:szCs w:val="18"/>
          <w:b w:val="1"/>
          <w:bCs w:val="1"/>
          <w:color w:val="auto"/>
        </w:rPr>
        <w:t>STOCKHOLDERS SHOULD NOT DESTROY ANY PRE-SPLIT STOCK CERTIFICATE AND SHOULD NOT SUBMIT ANY CERTIFICATES UNTIL THEY ARE REQUESTED TO DO SO.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94" w:lineRule="exact"/>
        <w:rPr>
          <w:sz w:val="20"/>
          <w:szCs w:val="20"/>
          <w:color w:val="auto"/>
        </w:rPr>
      </w:pPr>
    </w:p>
    <w:p>
      <w:pPr>
        <w:ind w:right="300"/>
        <w:spacing w:after="0" w:line="222" w:lineRule="auto"/>
        <w:rPr>
          <w:sz w:val="20"/>
          <w:szCs w:val="20"/>
          <w:color w:val="auto"/>
        </w:rPr>
      </w:pPr>
      <w:r>
        <w:rPr>
          <w:rFonts w:ascii="Times New Roman" w:cs="Times New Roman" w:eastAsia="Times New Roman" w:hAnsi="Times New Roman"/>
          <w:sz w:val="18"/>
          <w:szCs w:val="18"/>
          <w:color w:val="auto"/>
        </w:rPr>
        <w:t>The Reverse Stock Split shall be effected on a record holder-by-record holder (“Participant Holder”) basis, such that any fractional shares of post-Reverse Stock Split Common Stock resulting from the Reverse Stock Split and held by a single Participant Holder shall be aggregated. No scrip or</w:t>
      </w:r>
    </w:p>
    <w:p>
      <w:pPr>
        <w:spacing w:after="0" w:line="220" w:lineRule="auto"/>
        <w:rPr>
          <w:sz w:val="20"/>
          <w:szCs w:val="20"/>
          <w:color w:val="auto"/>
        </w:rPr>
      </w:pPr>
      <w:r>
        <w:rPr>
          <w:rFonts w:ascii="Times New Roman" w:cs="Times New Roman" w:eastAsia="Times New Roman" w:hAnsi="Times New Roman"/>
          <w:sz w:val="18"/>
          <w:szCs w:val="18"/>
          <w:color w:val="auto"/>
        </w:rPr>
        <w:t>fractional shares will be issued if, as a result of the Reverse Stock Split, a Participant Holder would otherwise become entitled to a fractional share</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because the number of shares of Common Stock they hold before the Reverse Stock Split is not evenly divisible by the split ratio ultimately determined by the Board. Instead, each Participant Holder will be entitled to receive a cash payment in lieu of such fractional share. The cash payment</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to be paid will be equal to the fraction of a share to which such Participant Holder would otherwise be entitled multiplied by the closing price per share as reported by The Nasdaq Capital Market (as adjusted to give effect to the Reverse Stock Split) on the date of the Effective Time. The Company will</w:t>
      </w:r>
    </w:p>
    <w:p>
      <w:pPr>
        <w:spacing w:after="0" w:line="1"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8"/>
          <w:szCs w:val="18"/>
          <w:color w:val="auto"/>
        </w:rPr>
        <w:t>not assess any transaction costs to a Participant Holder for the cash payment. A Participant Holder would not be entitled to receive interest for their fractional shares for the period of time between the Effective Time and the date payment is received.</w:t>
      </w:r>
    </w:p>
    <w:p>
      <w:pPr>
        <w:spacing w:after="0" w:line="5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After the Reverse Stock Split, a then-current Participant Holder would have no further interest in our Company with respect to their fractional shares. A Participant Holder entitled to only a fractional share would not have any voting, dividend or other rights in respect of their fractional share except to</w:t>
      </w:r>
    </w:p>
    <w:p>
      <w:pPr>
        <w:spacing w:after="0" w:line="219" w:lineRule="auto"/>
        <w:rPr>
          <w:sz w:val="20"/>
          <w:szCs w:val="20"/>
          <w:color w:val="auto"/>
        </w:rPr>
      </w:pPr>
      <w:r>
        <w:rPr>
          <w:rFonts w:ascii="Times New Roman" w:cs="Times New Roman" w:eastAsia="Times New Roman" w:hAnsi="Times New Roman"/>
          <w:sz w:val="18"/>
          <w:szCs w:val="18"/>
          <w:color w:val="auto"/>
        </w:rPr>
        <w:t>receive the cash payment as described above. Such cash payments would reduce the number of post-Reverse Stock Split Participant Holders to the</w:t>
      </w:r>
    </w:p>
    <w:p>
      <w:pPr>
        <w:ind w:right="60"/>
        <w:spacing w:after="0" w:line="223" w:lineRule="auto"/>
        <w:rPr>
          <w:sz w:val="20"/>
          <w:szCs w:val="20"/>
          <w:color w:val="auto"/>
        </w:rPr>
      </w:pPr>
      <w:r>
        <w:rPr>
          <w:rFonts w:ascii="Times New Roman" w:cs="Times New Roman" w:eastAsia="Times New Roman" w:hAnsi="Times New Roman"/>
          <w:sz w:val="17"/>
          <w:szCs w:val="17"/>
          <w:color w:val="auto"/>
        </w:rPr>
        <w:t>extent that there are Participant Holders holding fewer than that number of pre-Reverse Stock Split shares within the Reverse Stock Split ratio that is determined by the Board as described above. Reducing the number of post-Reverse Stock Split Participant Holders, however, is not the purpose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 stockholders whose shares are held in street name through a bank, broker or other nominee will be treated in accordance with the procedures</w:t>
      </w:r>
    </w:p>
    <w:p>
      <w:pPr>
        <w:spacing w:after="0" w:line="14"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of such bank, broker or nominee. Fractional shares resulting from the Reverse Stock Split will be determined at the Participant Holder level and beneficial stockholders should consult their bank, broker or nominee regarding the treatment of fractional shares and the payment of any cash in lieu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5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Beneficial stockholders should be aware that, under the escheat laws of the various jurisdictions where beneficial stockholders reside, where we are domiciled and where the funds for fractional shares would be deposited, any sums due to beneficial stockholders in payment for fractional shares that</w:t>
      </w:r>
    </w:p>
    <w:p>
      <w:pPr>
        <w:spacing w:after="0" w:line="1"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color w:val="auto"/>
        </w:rPr>
        <w:t>are not timely claimed after the Effective Time may be required to be paid to the designated agent for each such jurisdiction. Thereafter, beneficial stockholders otherwise entitled to receive such funds may have to seek to obtain them directly from the state to which they were paid.</w:t>
      </w:r>
    </w:p>
    <w:p>
      <w:pPr>
        <w:spacing w:after="0" w:line="140" w:lineRule="exact"/>
        <w:rPr>
          <w:sz w:val="20"/>
          <w:szCs w:val="20"/>
          <w:color w:val="auto"/>
        </w:rPr>
      </w:pPr>
    </w:p>
    <w:p>
      <w:pPr>
        <w:ind w:left="2900" w:right="420" w:hanging="2795"/>
        <w:spacing w:after="0" w:line="255" w:lineRule="auto"/>
        <w:rPr>
          <w:sz w:val="20"/>
          <w:szCs w:val="20"/>
          <w:color w:val="auto"/>
        </w:rPr>
      </w:pPr>
      <w:r>
        <w:rPr>
          <w:rFonts w:ascii="Times New Roman" w:cs="Times New Roman" w:eastAsia="Times New Roman" w:hAnsi="Times New Roman"/>
          <w:sz w:val="18"/>
          <w:szCs w:val="18"/>
          <w:b w:val="1"/>
          <w:bCs w:val="1"/>
          <w:color w:val="auto"/>
        </w:rPr>
        <w:t>YOU SHOULD NOT SEND YOUR OLD CERTIFICATES NOW. YOU SHOULD SEND THEM ONLY AFTER YOU RECEIVE THE LETTER OF TRANSMITTAL FROM OUR TRANSFER AGENT.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amendment to the Company’s Charter will not affect the par value of our Common Stock, which will remain $0.001 per share. As a</w:t>
      </w:r>
    </w:p>
    <w:p>
      <w:pPr>
        <w:spacing w:after="0" w:line="2"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result of the Reverse Stock Split, upon the Effective Time, the stated capital on our balance sheet attributable to our Common Stock, which consists of the par value per share of our Common Stock multiplied by the aggregate number of shares of our Common Stock issued and outstanding, will be</w:t>
      </w:r>
    </w:p>
    <w:p>
      <w:pPr>
        <w:spacing w:after="0" w:line="1" w:lineRule="exact"/>
        <w:rPr>
          <w:sz w:val="20"/>
          <w:szCs w:val="20"/>
          <w:color w:val="auto"/>
        </w:rPr>
      </w:pPr>
    </w:p>
    <w:p>
      <w:pPr>
        <w:ind w:right="240"/>
        <w:spacing w:after="0" w:line="211" w:lineRule="auto"/>
        <w:rPr>
          <w:sz w:val="20"/>
          <w:szCs w:val="20"/>
          <w:color w:val="auto"/>
        </w:rPr>
      </w:pPr>
      <w:r>
        <w:rPr>
          <w:rFonts w:ascii="Times New Roman" w:cs="Times New Roman" w:eastAsia="Times New Roman" w:hAnsi="Times New Roman"/>
          <w:sz w:val="18"/>
          <w:szCs w:val="18"/>
          <w:color w:val="auto"/>
        </w:rPr>
        <w:t>reduced in proportion to the size of the Reverse Stock Split and the reduction in the shares of Common Stock outstanding, and the additional paid-in capital account will be credited with the amount by which the stated capital is reduced. Our stockholders’ equity, in the aggregate, will remain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unchanged.</w:t>
      </w:r>
    </w:p>
    <w:p>
      <w:pPr>
        <w:spacing w:after="0" w:line="151"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Additionally, net income or loss per share for all periods would increase proportionately as a result of a Reverse Stock Split since there would be a lower number of shares outstanding. We do not anticipate that any other material accounting consequences would arise as a result of a Reverse Stock</w:t>
      </w:r>
    </w:p>
    <w:p>
      <w:pPr>
        <w:ind w:right="260"/>
        <w:spacing w:after="0" w:line="212" w:lineRule="auto"/>
        <w:rPr>
          <w:sz w:val="20"/>
          <w:szCs w:val="20"/>
          <w:color w:val="auto"/>
        </w:rPr>
      </w:pPr>
      <w:r>
        <w:rPr>
          <w:rFonts w:ascii="Times New Roman" w:cs="Times New Roman" w:eastAsia="Times New Roman" w:hAnsi="Times New Roman"/>
          <w:sz w:val="18"/>
          <w:szCs w:val="18"/>
          <w:color w:val="auto"/>
        </w:rPr>
        <w:t>Split. If we effect the Reverse Stock Split, in future financial statements we will restate net income or loss per share and other per share amounts for periods ending before the Reverse Stock Split to give retroactive effect to the Reverse Stock Split.</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337"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a Reverse Stock Split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certain risks associated with a reverse stock split, and we cannot accurately predict or assure that the Reverse Stock Split will produce or</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maintain the desired results. However, our Board believes that the benefits to the Company and our stockholders outweigh the risks and recommends that you vote in favor of the Reverse Stock Split Proposal.</w:t>
      </w:r>
    </w:p>
    <w:p>
      <w:pPr>
        <w:spacing w:after="0" w:line="153"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cannot assure you that the proposed Reverse Stock Split, if effected, will increase our stock price. There can be no assurance that the total market capitalization of our Common Stock (the aggregate value of all of our outstanding Common Stock at the then market price</w:t>
      </w:r>
    </w:p>
    <w:p>
      <w:pPr>
        <w:spacing w:after="0" w:line="1" w:lineRule="exact"/>
        <w:rPr>
          <w:sz w:val="20"/>
          <w:szCs w:val="20"/>
          <w:color w:val="auto"/>
        </w:rPr>
      </w:pPr>
    </w:p>
    <w:p>
      <w:pPr>
        <w:ind w:right="780"/>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after the Reverse Stock Split will be equal to or greater than the total market capitalization before the Reverse Stock Split, or that the per share market price of our Common Stock following the Reverse Stock Split will either equal or exceed the current per share market price.</w:t>
      </w:r>
    </w:p>
    <w:p>
      <w:pPr>
        <w:spacing w:after="0" w:line="5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At April 24, 2026, the closing sale price of our Common Stock on the Nasdaq Capital Market was $0.97 per share. Reducing the number of outstanding shares of our Common Stock through the Reverse Stock Split, if our Board decides to proceed with the Reverse Stock Split, is intended to increase the</w:t>
      </w:r>
    </w:p>
    <w:p>
      <w:pPr>
        <w:spacing w:after="0" w:line="1"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per share trading price of our Common Stock to exceed the minimum bid price requirement for continued listing on the Nasdaq Capital Market for at least the required period of time. However, we cannot assure you that the market price per share of our Common Stock after the Reverse Stock Split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will rise or remain constant in proportion to the reduction in the number of shares of Common Stock outstanding before the Reverse Stock Split. Even if we implement the Reverse Stock Split, the per share trading price of our Common Stock may decrease due to factors unrelated to the Reverse Stock</w:t>
      </w:r>
    </w:p>
    <w:p>
      <w:pPr>
        <w:spacing w:after="0" w:line="219" w:lineRule="auto"/>
        <w:rPr>
          <w:sz w:val="20"/>
          <w:szCs w:val="20"/>
          <w:color w:val="auto"/>
        </w:rPr>
      </w:pPr>
      <w:r>
        <w:rPr>
          <w:rFonts w:ascii="Times New Roman" w:cs="Times New Roman" w:eastAsia="Times New Roman" w:hAnsi="Times New Roman"/>
          <w:sz w:val="18"/>
          <w:szCs w:val="18"/>
          <w:color w:val="auto"/>
        </w:rPr>
        <w:t>Split. The effect of the Reverse Stock Split on the per share trading price of our Common Stock cannot be predicted with any certainty, and the history</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w:t>
      </w:r>
    </w:p>
    <w:p>
      <w:pPr>
        <w:spacing w:after="0" w:line="1" w:lineRule="exact"/>
        <w:rPr>
          <w:sz w:val="20"/>
          <w:szCs w:val="20"/>
          <w:color w:val="auto"/>
        </w:rPr>
      </w:pPr>
    </w:p>
    <w:p>
      <w:pPr>
        <w:jc w:val="both"/>
        <w:ind w:right="180"/>
        <w:spacing w:after="0" w:line="239" w:lineRule="auto"/>
        <w:rPr>
          <w:sz w:val="20"/>
          <w:szCs w:val="20"/>
          <w:color w:val="auto"/>
        </w:rPr>
      </w:pPr>
      <w:r>
        <w:rPr>
          <w:rFonts w:ascii="Times New Roman" w:cs="Times New Roman" w:eastAsia="Times New Roman" w:hAnsi="Times New Roman"/>
          <w:sz w:val="17"/>
          <w:szCs w:val="17"/>
          <w:color w:val="auto"/>
        </w:rPr>
        <w:t>does not reflect a proportionate or mathematical adjustment to the market price based on the ratio of the reverse stock split. Other factors, such as our financial results, market conditions and the market perception of our business, may adversely affect the per share trading price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total market capitalization of our Common Stock and the Company after the Reverse Stock Split may be lower than the total market</w:t>
      </w:r>
    </w:p>
    <w:p>
      <w:pPr>
        <w:spacing w:after="0" w:line="2"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capitalization before the Reverse Stock Split, and it is possible that the Reverse Stock Split may not result in a per share trading price that would attract investors who do not trade in lower priced stocks. As a result, there can be no assurance that the Reverse Stock Split, if completed, will result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that we anticipate or that the per share trading price of our Common Stock will not decrease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may decrease the liquidity of our Common Stock and result in higher transaction costs.</w:t>
      </w:r>
    </w:p>
    <w:p>
      <w:pPr>
        <w:spacing w:after="0" w:line="94"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7"/>
          <w:szCs w:val="17"/>
          <w:color w:val="auto"/>
        </w:rPr>
        <w:t>The liquidity of our Common Stock may be negatively impacted by the Reverse Stock Split, given the reduced number of shares that would be outstanding after the Reverse Stock Split, particularly if the per share trading price does not increase proportionately as a result of the Reverse Stock</w:t>
      </w:r>
    </w:p>
    <w:p>
      <w:pPr>
        <w:spacing w:after="0" w:line="1"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Split. In addition, if the Reverse Stock Split is implemented, it will increase the number of our stockholders who own “odd lots” of fewer than 100 shares of Common Stock. Brokerage commission and other costs of transactions in odd lots are generally higher than the costs of transactions of more</w:t>
      </w:r>
    </w:p>
    <w:p>
      <w:pPr>
        <w:spacing w:after="0" w:line="1" w:lineRule="exact"/>
        <w:rPr>
          <w:sz w:val="20"/>
          <w:szCs w:val="20"/>
          <w:color w:val="auto"/>
        </w:rPr>
      </w:pPr>
    </w:p>
    <w:p>
      <w:pPr>
        <w:ind w:right="260"/>
        <w:spacing w:after="0" w:line="211" w:lineRule="auto"/>
        <w:rPr>
          <w:sz w:val="20"/>
          <w:szCs w:val="20"/>
          <w:color w:val="auto"/>
        </w:rPr>
      </w:pPr>
      <w:r>
        <w:rPr>
          <w:rFonts w:ascii="Times New Roman" w:cs="Times New Roman" w:eastAsia="Times New Roman" w:hAnsi="Times New Roman"/>
          <w:sz w:val="18"/>
          <w:szCs w:val="18"/>
          <w:color w:val="auto"/>
        </w:rPr>
        <w:t>than 100 shares of Common Stock. In addition, although we believe the Reverse Stock Split may enhance the marketability of our Common Stock to certain potential investors, we cannot assure you that, if implemented, our Common Stock will be more attractive to investors. While our Board</w:t>
      </w:r>
    </w:p>
    <w:p>
      <w:pPr>
        <w:spacing w:after="0" w:line="219" w:lineRule="auto"/>
        <w:rPr>
          <w:sz w:val="20"/>
          <w:szCs w:val="20"/>
          <w:color w:val="auto"/>
        </w:rPr>
      </w:pPr>
      <w:r>
        <w:rPr>
          <w:rFonts w:ascii="Times New Roman" w:cs="Times New Roman" w:eastAsia="Times New Roman" w:hAnsi="Times New Roman"/>
          <w:sz w:val="18"/>
          <w:szCs w:val="18"/>
          <w:color w:val="auto"/>
        </w:rPr>
        <w:t>believes that a higher stock price may help generate the interest of new investors, the Reverse Stock Split may not result in a per-share price that will</w:t>
      </w:r>
    </w:p>
    <w:p>
      <w:pPr>
        <w:spacing w:after="0" w:line="1" w:lineRule="exact"/>
        <w:rPr>
          <w:sz w:val="20"/>
          <w:szCs w:val="20"/>
          <w:color w:val="auto"/>
        </w:rPr>
      </w:pPr>
    </w:p>
    <w:p>
      <w:pPr>
        <w:ind w:right="340"/>
        <w:spacing w:after="0" w:line="223" w:lineRule="auto"/>
        <w:rPr>
          <w:sz w:val="20"/>
          <w:szCs w:val="20"/>
          <w:color w:val="auto"/>
        </w:rPr>
      </w:pPr>
      <w:r>
        <w:rPr>
          <w:rFonts w:ascii="Times New Roman" w:cs="Times New Roman" w:eastAsia="Times New Roman" w:hAnsi="Times New Roman"/>
          <w:sz w:val="17"/>
          <w:szCs w:val="17"/>
          <w:color w:val="auto"/>
        </w:rPr>
        <w:t>attract certain types of investors, such as institutional investors or investment funds, and such share price may not satisfy the investing guidelines of institutional investors or investment funds. As a result, the trading liquidity of our Common Stock may not improve as a result of the Reverse Stock</w:t>
      </w:r>
    </w:p>
    <w:p>
      <w:pPr>
        <w:spacing w:after="0" w:line="1" w:lineRule="exact"/>
        <w:rPr>
          <w:sz w:val="20"/>
          <w:szCs w:val="20"/>
          <w:color w:val="auto"/>
        </w:rPr>
      </w:pPr>
    </w:p>
    <w:p>
      <w:pPr>
        <w:ind w:right="840"/>
        <w:spacing w:after="0" w:line="226" w:lineRule="auto"/>
        <w:rPr>
          <w:sz w:val="20"/>
          <w:szCs w:val="20"/>
          <w:color w:val="auto"/>
        </w:rPr>
      </w:pPr>
      <w:r>
        <w:rPr>
          <w:rFonts w:ascii="Times New Roman" w:cs="Times New Roman" w:eastAsia="Times New Roman" w:hAnsi="Times New Roman"/>
          <w:sz w:val="18"/>
          <w:szCs w:val="18"/>
          <w:color w:val="auto"/>
        </w:rPr>
        <w:t>Split and could be adversely affected by a higher per share price. Accordingly, the Reverse Stock Split may not achieve the desired results of increasing marketability of our Common Stock as described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may result in future dilution to our stockholders.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Reverse Stock Split will reduce the number of outstanding shares of our Common Stock without a proportionate reduction in the number of shares</w:t>
      </w:r>
    </w:p>
    <w:p>
      <w:pPr>
        <w:spacing w:after="0" w:line="2"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of authorized but unissued Common Stock in our Charter, which will give us a larger number of authorized shares available to be issued in the future without further stockholder action, except as may be required by applicable laws or the rules of any stock exchange on which our Common Stock is</w:t>
      </w:r>
    </w:p>
    <w:p>
      <w:pPr>
        <w:spacing w:after="0" w:line="1" w:lineRule="exact"/>
        <w:rPr>
          <w:sz w:val="20"/>
          <w:szCs w:val="20"/>
          <w:color w:val="auto"/>
        </w:rPr>
      </w:pPr>
    </w:p>
    <w:p>
      <w:pPr>
        <w:ind w:right="400"/>
        <w:spacing w:after="0" w:line="223" w:lineRule="auto"/>
        <w:rPr>
          <w:sz w:val="20"/>
          <w:szCs w:val="20"/>
          <w:color w:val="auto"/>
        </w:rPr>
      </w:pPr>
      <w:r>
        <w:rPr>
          <w:rFonts w:ascii="Times New Roman" w:cs="Times New Roman" w:eastAsia="Times New Roman" w:hAnsi="Times New Roman"/>
          <w:sz w:val="17"/>
          <w:szCs w:val="17"/>
          <w:color w:val="auto"/>
        </w:rPr>
        <w:t>listed. The issuance of additional shares of our Common Stock may have a dilutive effect on the ownership of existing stockholders and could also reduce stockholders’ equity on a per share basis. The issuance in the future of such additional authorized shares may have the effect of diluting the</w:t>
      </w:r>
    </w:p>
    <w:p>
      <w:pPr>
        <w:spacing w:after="0" w:line="1"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18"/>
          <w:szCs w:val="18"/>
          <w:color w:val="auto"/>
        </w:rPr>
        <w:t>earnings per share and book value per share, as well as the stock ownership and voting rights, of the currently outstanding shares of Common Stock. In addition, the issuance or potential issuance of additional shares of Common Stock may have a depressive effect on the market</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536"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price of our Common Stock. If Proposal 3 is adopted and approved and a Reverse Stock Split is effected, then depending on a number of factors,</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including without limitation the ratio of the Reverse Stock Split that is effected, our Board could, in its discretion, in the future consider submitting a proposal for consideration at a future meeting of stockholders to reduce the number of authorized shares of Common Stock in the Charter.</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Even if the Reverse Stock Split is effected, we may not be able to satisfy all of the other requirements for continued listing of our Common Stock on the Nasdaq Capital Market or other stock exchange.</w:t>
      </w:r>
    </w:p>
    <w:p>
      <w:pPr>
        <w:spacing w:after="0" w:line="37"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As discussed above, the Board is submitting the Reverse Stock Split proposed to our stockholders for approval with the primary intent of increasing the market price and minimum bid prices of our Common Stock to regain and maintain compliance with the listing requirements of the Nasdaq Capital</w:t>
      </w:r>
    </w:p>
    <w:p>
      <w:pPr>
        <w:spacing w:after="0" w:line="220" w:lineRule="auto"/>
        <w:rPr>
          <w:sz w:val="20"/>
          <w:szCs w:val="20"/>
          <w:color w:val="auto"/>
        </w:rPr>
      </w:pPr>
      <w:r>
        <w:rPr>
          <w:rFonts w:ascii="Times New Roman" w:cs="Times New Roman" w:eastAsia="Times New Roman" w:hAnsi="Times New Roman"/>
          <w:sz w:val="18"/>
          <w:szCs w:val="18"/>
          <w:color w:val="auto"/>
        </w:rPr>
        <w:t>Market and to make our Common Stock more attractive to a broader range of institutional and other investors. However, continued listing on such</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exchange requires compliance with a variety of other qualitative and quantitative listing standards. Even if we effect the Reverse Stock Split, we may not be able to satisfy or maintain listing requirements on the Nasdaq Capital Market or any other stock exchange. We cannot provide any assurances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will be able to maintain a listing of the Common Stock on the Nasdaq Capital Market or any other stock exchange.</w:t>
      </w:r>
    </w:p>
    <w:p>
      <w:pPr>
        <w:spacing w:after="0" w:line="228"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we are not reducing the number of our authorized preferred shares and are not reducing our authorized common shares, the Reverse Stock Split could make a change of control more difficult because we will have the right to issue proportionally more shares.</w:t>
      </w:r>
    </w:p>
    <w:p>
      <w:pPr>
        <w:spacing w:after="0" w:line="3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The Reverse Stock Split will not change the number of authorized shares of our Preferred Stock, as designated by our Certificate of Incorporation. Our Certificate of Incorporation authorizes us to issue 1 or more series of Preferred Stock, which we are not changing in the Reverse Stock Split. Our Board</w:t>
      </w:r>
    </w:p>
    <w:p>
      <w:pPr>
        <w:spacing w:after="0" w:line="219" w:lineRule="auto"/>
        <w:rPr>
          <w:sz w:val="20"/>
          <w:szCs w:val="20"/>
          <w:color w:val="auto"/>
        </w:rPr>
      </w:pPr>
      <w:r>
        <w:rPr>
          <w:rFonts w:ascii="Times New Roman" w:cs="Times New Roman" w:eastAsia="Times New Roman" w:hAnsi="Times New Roman"/>
          <w:sz w:val="18"/>
          <w:szCs w:val="18"/>
          <w:color w:val="auto"/>
        </w:rPr>
        <w:t>has the authority to determine the preferences, limitations and relative rights of the shares of Preferred Stock and to fix the number of shares</w:t>
      </w:r>
    </w:p>
    <w:p>
      <w:pPr>
        <w:ind w:right="120"/>
        <w:spacing w:after="0" w:line="223" w:lineRule="auto"/>
        <w:rPr>
          <w:sz w:val="20"/>
          <w:szCs w:val="20"/>
          <w:color w:val="auto"/>
        </w:rPr>
      </w:pPr>
      <w:r>
        <w:rPr>
          <w:rFonts w:ascii="Times New Roman" w:cs="Times New Roman" w:eastAsia="Times New Roman" w:hAnsi="Times New Roman"/>
          <w:sz w:val="17"/>
          <w:szCs w:val="17"/>
          <w:color w:val="auto"/>
        </w:rPr>
        <w:t>constituting any series and the designation of such series, without any further vote or action by our stockholders. Our Preferred Stock could be issued with voting, liquidation, dividend and other rights superior to the rights of our Common Stock. The issuance of Preferred Stock may delay or prevent a</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change in control of us, discouraging bids for our Common Stock at a premium to the market price, and materially and adversely affect the market price and the voting and other rights of the holders of our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availability of proportionately more authorized but unissued shares of Common Stock may enable our Board to render it more difficult, or</w:t>
      </w:r>
    </w:p>
    <w:p>
      <w:pPr>
        <w:spacing w:after="0" w:line="2"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discourage an attempt to obtain control of the Company, which may adversely affect the market price of our Common Stock. If in the due exercise of its fiduciary obligations, for example, our Board were to determine that a takeover proposal were not in our best interests, such shares could be issued</w:t>
      </w:r>
    </w:p>
    <w:p>
      <w:pPr>
        <w:spacing w:after="0" w:line="220" w:lineRule="auto"/>
        <w:rPr>
          <w:sz w:val="20"/>
          <w:szCs w:val="20"/>
          <w:color w:val="auto"/>
        </w:rPr>
      </w:pPr>
      <w:r>
        <w:rPr>
          <w:rFonts w:ascii="Times New Roman" w:cs="Times New Roman" w:eastAsia="Times New Roman" w:hAnsi="Times New Roman"/>
          <w:sz w:val="18"/>
          <w:szCs w:val="18"/>
          <w:color w:val="auto"/>
        </w:rPr>
        <w:t>by the Board without stockholder approval in (i) one or more private placements or other transactions that might prevent, render more difficult or make</w:t>
      </w:r>
    </w:p>
    <w:p>
      <w:pPr>
        <w:ind w:right="260"/>
        <w:spacing w:after="0" w:line="223" w:lineRule="auto"/>
        <w:rPr>
          <w:sz w:val="20"/>
          <w:szCs w:val="20"/>
          <w:color w:val="auto"/>
        </w:rPr>
      </w:pPr>
      <w:r>
        <w:rPr>
          <w:rFonts w:ascii="Times New Roman" w:cs="Times New Roman" w:eastAsia="Times New Roman" w:hAnsi="Times New Roman"/>
          <w:sz w:val="17"/>
          <w:szCs w:val="17"/>
          <w:color w:val="auto"/>
        </w:rPr>
        <w:t>more costly the completion of any attempted takeover transaction by diluting voting or other rights of the proposed acquirer or insurgent stockholder group or creating a substantial voting bloc in institutional or other hands that might support the position of the incumbent Board or (ii) an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might complicate or preclude the takeover.</w:t>
      </w:r>
    </w:p>
    <w:p>
      <w:pPr>
        <w:spacing w:after="0" w:line="15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The Reverse Stock Split is not being recommended by our Board as part of an anti-takeover strategy, but rather its principal purpose is for our Company to maintain compliance with Nasdaq Capital Market’s listing standards to maintain the listing of our Common Stock and to make such shares</w:t>
      </w:r>
    </w:p>
    <w:p>
      <w:pPr>
        <w:spacing w:after="0"/>
        <w:rPr>
          <w:sz w:val="20"/>
          <w:szCs w:val="20"/>
          <w:color w:val="auto"/>
        </w:rPr>
      </w:pPr>
      <w:r>
        <w:rPr>
          <w:rFonts w:ascii="Times New Roman" w:cs="Times New Roman" w:eastAsia="Times New Roman" w:hAnsi="Times New Roman"/>
          <w:sz w:val="18"/>
          <w:szCs w:val="18"/>
          <w:color w:val="auto"/>
        </w:rPr>
        <w:t>more attractive to a broader group of investors.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issuances of Common Stock by the Company may have an adverse effect on the market price of the Common Stock.</w:t>
      </w:r>
    </w:p>
    <w:p>
      <w:pPr>
        <w:spacing w:after="0" w:line="10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Since the number of authorized shares of Common Stock will not change, it will have the effect of increasing the number of shares of Common Stock authorized for issuance relative to the number of shares outstanding. We may issue a substantial number of these shares of the Common Stock under our</w:t>
      </w:r>
    </w:p>
    <w:p>
      <w:pPr>
        <w:ind w:right="120"/>
        <w:spacing w:after="0" w:line="211" w:lineRule="auto"/>
        <w:rPr>
          <w:sz w:val="20"/>
          <w:szCs w:val="20"/>
          <w:color w:val="auto"/>
        </w:rPr>
      </w:pPr>
      <w:r>
        <w:rPr>
          <w:rFonts w:ascii="Times New Roman" w:cs="Times New Roman" w:eastAsia="Times New Roman" w:hAnsi="Times New Roman"/>
          <w:sz w:val="18"/>
          <w:szCs w:val="18"/>
          <w:color w:val="auto"/>
        </w:rPr>
        <w:t>outstanding options and other equity securities, as well as under our existing equity compensation plans. In addition, we may issue additional shares of Common Stock in future financings. Any of the foregoing issuances will dilute our existing stockholders. Furthermore, the trading price of the</w:t>
      </w:r>
    </w:p>
    <w:p>
      <w:pPr>
        <w:spacing w:after="0" w:line="1" w:lineRule="exact"/>
        <w:rPr>
          <w:sz w:val="20"/>
          <w:szCs w:val="20"/>
          <w:color w:val="auto"/>
        </w:rPr>
      </w:pPr>
    </w:p>
    <w:p>
      <w:pPr>
        <w:ind w:right="1740" w:hanging="12"/>
        <w:spacing w:after="0" w:line="379" w:lineRule="auto"/>
        <w:rPr>
          <w:sz w:val="20"/>
          <w:szCs w:val="20"/>
          <w:color w:val="auto"/>
        </w:rPr>
      </w:pPr>
      <w:r>
        <w:rPr>
          <w:rFonts w:ascii="Times New Roman" w:cs="Times New Roman" w:eastAsia="Times New Roman" w:hAnsi="Times New Roman"/>
          <w:sz w:val="18"/>
          <w:szCs w:val="18"/>
          <w:color w:val="auto"/>
        </w:rPr>
        <w:t xml:space="preserve">Common Stock could decline as a result of sales of such shares of Common Stock, or the perception that such sales could occur. </w:t>
      </w:r>
      <w:r>
        <w:rPr>
          <w:rFonts w:ascii="Times New Roman" w:cs="Times New Roman" w:eastAsia="Times New Roman" w:hAnsi="Times New Roman"/>
          <w:sz w:val="18"/>
          <w:szCs w:val="18"/>
          <w:b w:val="1"/>
          <w:bCs w:val="1"/>
          <w:color w:val="auto"/>
        </w:rPr>
        <w:t>Certain Material U.S. Federal Income Tax Considerations of a Reverse Stock Split</w:t>
      </w:r>
    </w:p>
    <w:p>
      <w:pPr>
        <w:spacing w:after="0" w:line="1" w:lineRule="exact"/>
        <w:rPr>
          <w:sz w:val="20"/>
          <w:szCs w:val="20"/>
          <w:color w:val="auto"/>
        </w:rPr>
      </w:pPr>
    </w:p>
    <w:p>
      <w:pPr>
        <w:jc w:val="both"/>
        <w:ind w:right="140"/>
        <w:spacing w:after="0" w:line="236" w:lineRule="auto"/>
        <w:rPr>
          <w:sz w:val="20"/>
          <w:szCs w:val="20"/>
          <w:color w:val="auto"/>
        </w:rPr>
      </w:pPr>
      <w:r>
        <w:rPr>
          <w:rFonts w:ascii="Times New Roman" w:cs="Times New Roman" w:eastAsia="Times New Roman" w:hAnsi="Times New Roman"/>
          <w:sz w:val="18"/>
          <w:szCs w:val="18"/>
          <w:color w:val="auto"/>
        </w:rPr>
        <w:t>The following is a general summary of certain material U.S. federal income tax considerations relating to the Reverse Stock Split that may be relevant to holders of our Common Stock. This summary only addresses a U.S. Holder (as defined below) who holds Common Stock as a capital asset for U.S. federal income tax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a “U.S. Holder” means a beneficial owner of Common Stock who is any of the following for U.S.</w:t>
      </w:r>
    </w:p>
    <w:p>
      <w:pPr>
        <w:spacing w:after="0" w:line="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08"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federal income tax purposes: (i) a citizen or resident of the United States, (ii) a corporation created or organized in or under the laws of the United</w:t>
      </w:r>
    </w:p>
    <w:p>
      <w:pPr>
        <w:spacing w:after="0" w:line="2" w:lineRule="exact"/>
        <w:rPr>
          <w:sz w:val="20"/>
          <w:szCs w:val="20"/>
          <w:color w:val="auto"/>
        </w:rPr>
      </w:pPr>
    </w:p>
    <w:p>
      <w:pPr>
        <w:ind w:right="460"/>
        <w:spacing w:after="0" w:line="223" w:lineRule="auto"/>
        <w:rPr>
          <w:sz w:val="20"/>
          <w:szCs w:val="20"/>
          <w:color w:val="auto"/>
        </w:rPr>
      </w:pPr>
      <w:r>
        <w:rPr>
          <w:rFonts w:ascii="Times New Roman" w:cs="Times New Roman" w:eastAsia="Times New Roman" w:hAnsi="Times New Roman"/>
          <w:sz w:val="17"/>
          <w:szCs w:val="17"/>
          <w:color w:val="auto"/>
        </w:rPr>
        <w:t>States, any state thereof, or the District of Columbia, (iii) an estate the income of which is subject to U.S. federal income taxation regardless of its source, or (iv) a trust if (1) its administration is subject to the primary supervision of a court within the United States and one or more U.S. persons</w:t>
      </w:r>
    </w:p>
    <w:p>
      <w:pPr>
        <w:spacing w:after="0" w:line="1"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have the authority to control all of its substantial decisions, or (2) it has a valid election in effect under applicable U.S. Treasury Regulations to be treated as a U.S.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Treasury Regulations promulgated thereunder,</w:t>
      </w:r>
    </w:p>
    <w:p>
      <w:pPr>
        <w:spacing w:after="0" w:line="2" w:lineRule="exact"/>
        <w:rPr>
          <w:sz w:val="20"/>
          <w:szCs w:val="20"/>
          <w:color w:val="auto"/>
        </w:rPr>
      </w:pPr>
    </w:p>
    <w:p>
      <w:pPr>
        <w:ind w:right="500"/>
        <w:spacing w:after="0" w:line="223" w:lineRule="auto"/>
        <w:rPr>
          <w:sz w:val="20"/>
          <w:szCs w:val="20"/>
          <w:color w:val="auto"/>
        </w:rPr>
      </w:pPr>
      <w:r>
        <w:rPr>
          <w:rFonts w:ascii="Times New Roman" w:cs="Times New Roman" w:eastAsia="Times New Roman" w:hAnsi="Times New Roman"/>
          <w:sz w:val="17"/>
          <w:szCs w:val="17"/>
          <w:color w:val="auto"/>
        </w:rPr>
        <w:t>rulings and judicial decisions as of the date hereof, all of which may be change, perhaps retroactively, so as to result in U.S. federal income tax considerations different from those summarized below. This summary is general in nature and does not represent a detailed description of the U.S.</w:t>
      </w:r>
    </w:p>
    <w:p>
      <w:pPr>
        <w:spacing w:after="0" w:line="1"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federal income tax considerations to a stockholder in light of their particular circumstances. In addition, it does not represent a description of the U.S. federal income tax Considerations to a stockholder who is subject to special treatment under the U.S. federal income tax laws and does not address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considerations applicable to U.S. Holders who may be subject to special tax rules, such as:</w:t>
      </w:r>
    </w:p>
    <w:p>
      <w:pPr>
        <w:spacing w:after="0" w:line="70" w:lineRule="exact"/>
        <w:rPr>
          <w:sz w:val="20"/>
          <w:szCs w:val="20"/>
          <w:color w:val="auto"/>
        </w:rPr>
      </w:pPr>
    </w:p>
    <w:p>
      <w:pPr>
        <w:ind w:left="880" w:hanging="397"/>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Partnerships (or entities or arrangements treated as partnerships for U.S. federal income tax purposes) and any beneficial owners thereof;</w:t>
      </w:r>
    </w:p>
    <w:p>
      <w:pPr>
        <w:spacing w:after="0" w:line="2" w:lineRule="exact"/>
        <w:rPr>
          <w:rFonts w:ascii="Times New Roman" w:cs="Times New Roman" w:eastAsia="Times New Roman" w:hAnsi="Times New Roman"/>
          <w:sz w:val="16"/>
          <w:szCs w:val="16"/>
          <w:color w:val="auto"/>
        </w:rPr>
      </w:pP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financial institutions or financial services entities;</w:t>
      </w:r>
    </w:p>
    <w:p>
      <w:pPr>
        <w:ind w:left="880" w:hanging="397"/>
        <w:spacing w:after="0" w:line="234"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insurance companies;</w:t>
      </w: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real estate investment trusts;</w:t>
      </w: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regulated investment companies;</w:t>
      </w:r>
    </w:p>
    <w:p>
      <w:pPr>
        <w:ind w:left="880" w:hanging="397"/>
        <w:spacing w:after="0" w:line="234"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grantor trusts;</w:t>
      </w: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tax-exempt organizations;</w:t>
      </w:r>
    </w:p>
    <w:p>
      <w:pPr>
        <w:ind w:left="880" w:hanging="397"/>
        <w:spacing w:after="0" w:line="234"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governments or agencies or instrumentalities thereof;</w:t>
      </w: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brokers, dealers or traders in securities or currencies;</w:t>
      </w:r>
    </w:p>
    <w:p>
      <w:pPr>
        <w:ind w:left="880" w:hanging="397"/>
        <w:spacing w:after="0" w:line="226"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stockholders who hold Common Stock as part of a position in a straddle or as part of a hedging, conversion or integrated transaction for U.S. federal income tax purposes;</w:t>
      </w:r>
    </w:p>
    <w:p>
      <w:pPr>
        <w:spacing w:after="0" w:line="1" w:lineRule="exact"/>
        <w:rPr>
          <w:rFonts w:ascii="Times New Roman" w:cs="Times New Roman" w:eastAsia="Times New Roman" w:hAnsi="Times New Roman"/>
          <w:sz w:val="16"/>
          <w:szCs w:val="16"/>
          <w:color w:val="auto"/>
        </w:rPr>
      </w:pP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U.S. Holders that have a functional currency other than the U.S. dollar;</w:t>
      </w:r>
    </w:p>
    <w:p>
      <w:pPr>
        <w:ind w:left="880" w:hanging="397"/>
        <w:spacing w:after="0" w:line="234"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stockholders who actually or constructively own five percent or more of the Company’s voting stock;</w:t>
      </w:r>
    </w:p>
    <w:p>
      <w:pPr>
        <w:ind w:left="880" w:hanging="397"/>
        <w:spacing w:after="0" w:line="219" w:lineRule="auto"/>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U.S. expatriates; or</w:t>
      </w:r>
    </w:p>
    <w:p>
      <w:pPr>
        <w:ind w:left="880" w:hanging="397"/>
        <w:spacing w:after="0"/>
        <w:tabs>
          <w:tab w:leader="none" w:pos="8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stockholders who acquire shares of our Common Stock in connection with employment or other performance of services.</w:t>
      </w:r>
    </w:p>
    <w:p>
      <w:pPr>
        <w:spacing w:after="0" w:line="27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Moreover, this description does not address any aspect of U.S. state or local tax, non-U.S. tax, the Medicare tax on net investment income, U.S. federal estate and gift tax, alternative minimum tax, or other U.S. federal income tax consideration or other tax consequences of the Reverse Stock Split.</w:t>
      </w:r>
    </w:p>
    <w:p>
      <w:pPr>
        <w:spacing w:after="0" w:line="126" w:lineRule="exact"/>
        <w:rPr>
          <w:sz w:val="20"/>
          <w:szCs w:val="20"/>
          <w:color w:val="auto"/>
        </w:rPr>
      </w:pPr>
    </w:p>
    <w:p>
      <w:pPr>
        <w:ind w:right="460"/>
        <w:spacing w:after="0" w:line="236" w:lineRule="auto"/>
        <w:rPr>
          <w:sz w:val="20"/>
          <w:szCs w:val="20"/>
          <w:color w:val="auto"/>
        </w:rPr>
      </w:pPr>
      <w:r>
        <w:rPr>
          <w:rFonts w:ascii="Times New Roman" w:cs="Times New Roman" w:eastAsia="Times New Roman" w:hAnsi="Times New Roman"/>
          <w:sz w:val="17"/>
          <w:szCs w:val="17"/>
          <w:color w:val="auto"/>
        </w:rPr>
        <w:t>If an entity classified as a partnership (or other entity or arrangement treated as a partnership for U.S. federal income tax purposes) for U.S. federal income tax purposes holds common stock, the tax treatment of an equity holders in such entity will generally depend on the status of such equity</w:t>
      </w:r>
    </w:p>
    <w:p>
      <w:pPr>
        <w:spacing w:after="0"/>
        <w:rPr>
          <w:sz w:val="20"/>
          <w:szCs w:val="20"/>
          <w:color w:val="auto"/>
        </w:rPr>
      </w:pPr>
      <w:r>
        <w:rPr>
          <w:rFonts w:ascii="Times New Roman" w:cs="Times New Roman" w:eastAsia="Times New Roman" w:hAnsi="Times New Roman"/>
          <w:sz w:val="18"/>
          <w:szCs w:val="18"/>
          <w:color w:val="auto"/>
        </w:rPr>
        <w:t>holder and the activities of such entity.</w:t>
      </w:r>
    </w:p>
    <w:p>
      <w:pPr>
        <w:spacing w:after="0" w:line="165"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w:t>
      </w:r>
    </w:p>
    <w:p>
      <w:pPr>
        <w:spacing w:after="0"/>
        <w:rPr>
          <w:sz w:val="20"/>
          <w:szCs w:val="20"/>
          <w:color w:val="auto"/>
        </w:rPr>
      </w:pPr>
      <w:r>
        <w:rPr>
          <w:rFonts w:ascii="Times New Roman" w:cs="Times New Roman" w:eastAsia="Times New Roman" w:hAnsi="Times New Roman"/>
          <w:sz w:val="18"/>
          <w:szCs w:val="18"/>
          <w:color w:val="auto"/>
        </w:rPr>
        <w:t>below or a court would not sustain any such challenge.</w:t>
      </w:r>
    </w:p>
    <w:p>
      <w:pPr>
        <w:spacing w:after="0" w:line="161"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7"/>
          <w:szCs w:val="17"/>
          <w:b w:val="1"/>
          <w:bCs w:val="1"/>
          <w:color w:val="auto"/>
        </w:rPr>
        <w:t>EACH STOCKHOLDER SHOULD CONSULT THEIR TAX ADVISORS CONCERNING THE PARTICULAR U.S. FEDERAL TAX CONSEQUENCES OF THE REVERSE STOCK SPLIT, AS WELL AS THE CONSEQUENCES ARISING UNDER THE LAWS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TAXING JURISDICTION, INCLUDING ANY U.S. STATE OR LOCAL OR NON-U.S. TAX CONSEQUENCES.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to the Company</w:t>
      </w:r>
    </w:p>
    <w:p>
      <w:pPr>
        <w:spacing w:after="0" w:line="92"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Reverse Stock Split is intended to be treated as a tax deferred “recapitalization” for U.S. federal income tax purposes. If the Reverse Stock Split qualifies as a recapitalization, then the Company will not recognize a gain or loss as a result.</w:t>
      </w:r>
    </w:p>
    <w:p>
      <w:pPr>
        <w:spacing w:after="0" w:line="3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350520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108"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Tax Consequences to U.S. Holders of the Reverse Stock Split</w:t>
      </w:r>
    </w:p>
    <w:p>
      <w:pPr>
        <w:spacing w:after="0" w:line="9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If the Reverse Stock Split qualifies as a recapitalization, then a U.S. Holder generally will not recognize gain or loss on the Reverse Stock Split. In general, the aggregate tax basis of the post-split shares received will be equal to the aggregate tax basis of the pre-split shares exchanged therefore and</w:t>
      </w:r>
    </w:p>
    <w:p>
      <w:pPr>
        <w:spacing w:after="0" w:line="1"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the holding period of the post-split shares received will include the holding period of the pre-split shares exchanged. Treasury regulations promulgated under the Code provide rules for allocating the tax basis and holding period of the shares of our Common Stock surrendered to the shares of our</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Common Stock received pursuant to the Reverse Stock Split. U.S. Holders of shares of our Common Stock acquired on different dates and at different prices should consult their tax advisors regarding the allocation of the tax basis and holding period of such shares.</w:t>
      </w:r>
    </w:p>
    <w:p>
      <w:pPr>
        <w:spacing w:after="0" w:line="157"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A stockholder who receives cash in lieu of a fractional share of common stock should be treated as first receiving such fractional share and then receiving cash in redemption of such fractional share. A stockholder who receives cash in lieu of a fractional share in the Reverse Stock Split should</w:t>
      </w:r>
    </w:p>
    <w:p>
      <w:pPr>
        <w:ind w:right="360"/>
        <w:spacing w:after="0" w:line="223" w:lineRule="auto"/>
        <w:rPr>
          <w:sz w:val="20"/>
          <w:szCs w:val="20"/>
          <w:color w:val="auto"/>
        </w:rPr>
      </w:pPr>
      <w:r>
        <w:rPr>
          <w:rFonts w:ascii="Times New Roman" w:cs="Times New Roman" w:eastAsia="Times New Roman" w:hAnsi="Times New Roman"/>
          <w:sz w:val="17"/>
          <w:szCs w:val="17"/>
          <w:color w:val="auto"/>
        </w:rPr>
        <w:t>recognize capital gain or loss equal to the difference between the amount of the cash received in lieu of the fractional share and the portion of the stockholder’s adjusted tax basis allocable to the fractional share. Stockholders should consult their tax advisors regarding the tax effects to them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cash in lieu of fractional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stockholder may be subject to information reporting with respect to any cash received in exchange for a fractional share interest in a new share in the</w:t>
      </w:r>
    </w:p>
    <w:p>
      <w:pPr>
        <w:spacing w:after="0" w:line="14"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Reverse Stock Split. Stockholders who are subject to information reporting and who do not provide a correct taxpayer identification number and other required information (such as by submitting a properly completed Internal Revenue Service Form W-9) may also be subject to backup withholding at</w:t>
      </w:r>
    </w:p>
    <w:p>
      <w:pPr>
        <w:spacing w:after="0" w:line="204" w:lineRule="auto"/>
        <w:rPr>
          <w:sz w:val="20"/>
          <w:szCs w:val="20"/>
          <w:color w:val="auto"/>
        </w:rPr>
      </w:pPr>
      <w:r>
        <w:rPr>
          <w:rFonts w:ascii="Times New Roman" w:cs="Times New Roman" w:eastAsia="Times New Roman" w:hAnsi="Times New Roman"/>
          <w:sz w:val="18"/>
          <w:szCs w:val="18"/>
          <w:color w:val="auto"/>
        </w:rPr>
        <w:t>the applicable rate. Any amount withheld under such rules is not an additional tax and may be refunded or credited against the stockholder’s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liability; provided that the required information is properly furnished in a timely manner to the Internal Revenue Service.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 Considerations for U.S. 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state and local tax consequences of the Reverse Stock Split may vary significantly as to each U.S. Holder depending upon the jurisdiction in</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which such holder resides. U.S. Holders are urged to consult their tax advisors regarding the specific tax consequences to them of the Reverse Stock Split, including the applicable U.S. federal, state and local and non-U.S. tax consequences, if 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 ARE COMPLICATED, AND THE TAX CONSEQUENCES OF THE REVERSE STOCK SPLIT DEPEND UPON THE</w:t>
      </w:r>
    </w:p>
    <w:p>
      <w:pPr>
        <w:spacing w:after="0" w:line="6"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b w:val="1"/>
          <w:bCs w:val="1"/>
          <w:color w:val="auto"/>
        </w:rPr>
        <w:t>PARTICULAR CIRCUMSTANCES OF EACH U.S. HOLDER. ACCORDINGLY, EACH U.S. HOLDER IS ADVISED TO CONSULT THE HOLDER’S TAX ADVISOR WITH RESPECT TO ALL OF THE POTENTIAL TAX CONSEQUENCES TO THE U.S. HOLDER OF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94"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3 that are not shared by all of our other stockholders, except to the extent of their ownership of shares of our Common Stock and other securities exercisable or exchangeable</w:t>
      </w:r>
    </w:p>
    <w:p>
      <w:pPr>
        <w:spacing w:after="0" w:line="1" w:lineRule="exact"/>
        <w:rPr>
          <w:sz w:val="20"/>
          <w:szCs w:val="20"/>
          <w:color w:val="auto"/>
        </w:rPr>
      </w:pPr>
    </w:p>
    <w:p>
      <w:pPr>
        <w:ind w:right="400"/>
        <w:spacing w:after="0" w:line="223" w:lineRule="auto"/>
        <w:rPr>
          <w:sz w:val="20"/>
          <w:szCs w:val="20"/>
          <w:color w:val="auto"/>
        </w:rPr>
      </w:pPr>
      <w:r>
        <w:rPr>
          <w:rFonts w:ascii="Times New Roman" w:cs="Times New Roman" w:eastAsia="Times New Roman" w:hAnsi="Times New Roman"/>
          <w:sz w:val="17"/>
          <w:szCs w:val="17"/>
          <w:color w:val="auto"/>
        </w:rPr>
        <w:t>therefore. We have not proposed the Reverse Stock Split Proposal in response to any effort of which we are aware to accumulate our shares of our Common Stock or obtain control of our Company, nor is it a plan by management to recommend a series of similar actions to our Board or our</w:t>
      </w:r>
    </w:p>
    <w:p>
      <w:pPr>
        <w:spacing w:after="0" w:line="1"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7"/>
          <w:szCs w:val="17"/>
          <w:color w:val="auto"/>
        </w:rPr>
        <w:t>stockholders. Notwithstanding the expected decrease in the number of outstanding shares of common stock following the Reverse Stock Split, our Board does not intend for this transaction to be the first step in a “going private transaction” within the meaning of Rule 13e-3 of the Exchange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9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approval of Proposal 3, the Reverse Stock Split Proposal, will require the affirmative vote of the holders of a majority of the outstanding shares of Capital Stock entitled to vote thereon.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350520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335" w:right="5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36130" cy="295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95910"/>
                    </a:xfrm>
                    <a:prstGeom prst="rect">
                      <a:avLst/>
                    </a:prstGeom>
                    <a:noFill/>
                  </pic:spPr>
                </pic:pic>
              </a:graphicData>
            </a:graphic>
          </wp:anchor>
        </w:drawing>
      </w:r>
    </w:p>
    <w:p>
      <w:pPr>
        <w:spacing w:after="0" w:line="18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OUR BOARD RECOMMENDS A VOTE FOR THE APPROVAL, ON A NON-BINDING, ADVISORY BASIS, OF THE COMPENSATION OF OUR NAMED EXECUTIVE OFFICERS AS DISCLOSED IN THIS PROXY STATEMENT.</w:t>
      </w:r>
    </w:p>
    <w:p>
      <w:pPr>
        <w:spacing w:after="0" w:line="18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required by Section 14A of the Exchange Act, we are asking our stockholders to vote to approve, on a non-binding, advisory basis, the compensation of our named executive officers as disclosed in this proxy statement.</w:t>
      </w:r>
    </w:p>
    <w:p>
      <w:pPr>
        <w:spacing w:after="0" w:line="1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we seek to closely align the interests of our named executive officers with the interests of our stockholders. Our compensation programs are designed to reward our named executive officers for the achievement of short-term and long-term strategic goals, while at the same time avoiding the encouragement of unnecessary or excessive risk-taking.</w:t>
      </w:r>
    </w:p>
    <w:p>
      <w:pPr>
        <w:spacing w:after="0" w:line="14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Stockholders are urged to read the “Executive Compensation” section of this proxy statement, which discusses how our executive compensation policies and procedures implement our compensation philosophy and contain tabular information and narrative discussion about the compensation of our named executive officers. Our Board and the Compensation and Human Capital Committee believe that these policies and procedures are effective in implementing our compensation philosophy and in achieving our compensation program goals.</w:t>
      </w:r>
    </w:p>
    <w:p>
      <w:pPr>
        <w:spacing w:after="0" w:line="144"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but rather the overall compensation of our named executive officers and the philosophy, policies and practices described in this proxy statement. The vote is advisory, which means that the vote is not binding on us, our Board or the Compensation and Human Capital Committee. As such, the results of the vote will not be construed to create or imply any change to the fiduciary duties of our Board. Although non-binding, the Board and the Compensation and Human Capital Committee value the opinions that stockholders express in their votes and will review the voting results and take them into consideration as they deem appropriate when making future decisions regarding our executive compensation program.</w:t>
      </w:r>
    </w:p>
    <w:p>
      <w:pPr>
        <w:spacing w:after="0" w:line="1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At our 2023 annual meeting of stockholders, our stockholders supported, on an advisory basis, the Board’s proposal that the say-on-pay advisory vote occur on an annual basis. Although annual say-on-pay advisory votes are not required by our Bylaws, the Board currently believes that having our stockholders provide annual feedback on our compensation practices supports effective governance. As a result, and in light of the overwhelming support of our stockholders, the next say-on-pay advisory vote is expected to occur in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are asking our stockholders to vote FOR the following resolution:</w:t>
      </w:r>
    </w:p>
    <w:p>
      <w:pPr>
        <w:spacing w:after="0" w:line="185" w:lineRule="exact"/>
        <w:rPr>
          <w:sz w:val="20"/>
          <w:szCs w:val="20"/>
          <w:color w:val="auto"/>
        </w:rPr>
      </w:pPr>
    </w:p>
    <w:p>
      <w:pPr>
        <w:ind w:left="660" w:right="480"/>
        <w:spacing w:after="0" w:line="242"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AquaBounty Technologies, Inc., as disclosed in this proxy statement pursuant to Item 402 of Regulation S-K, including the compensation tables and narrative discussion, is hereby approved on a non-binding, advisory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approval of this non-binding, advisory proposal requires the affirmative vote of the holders of a majority of the shares of our Capital Stock present in person or represented by proxy at the annual meeting and entitled to vote on the matter and which has been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Stockholders are being asked to consider and vote upon an adjournment by stockholders of the Annual Meeting from time to time, if necessary or advisable (as determined by the Company), to solicit additional proxies in the event there are not sufficient votes at the time of the Annual Meeting to</w:t>
      </w:r>
    </w:p>
    <w:p>
      <w:pPr>
        <w:spacing w:after="0"/>
        <w:rPr>
          <w:sz w:val="20"/>
          <w:szCs w:val="20"/>
          <w:color w:val="auto"/>
        </w:rPr>
      </w:pPr>
      <w:r>
        <w:rPr>
          <w:rFonts w:ascii="Times New Roman" w:cs="Times New Roman" w:eastAsia="Times New Roman" w:hAnsi="Times New Roman"/>
          <w:sz w:val="18"/>
          <w:szCs w:val="18"/>
          <w:color w:val="auto"/>
        </w:rPr>
        <w:t>approve the Reverse Stock Split Proposal as described in Proposal 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Required</w:t>
      </w:r>
    </w:p>
    <w:p>
      <w:pPr>
        <w:spacing w:after="0" w:line="104"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7"/>
          <w:szCs w:val="17"/>
          <w:color w:val="auto"/>
        </w:rPr>
        <w:t>The approval of Proposal 5, the Adjournment Proposal, will require the affirmative vote of the holders of a majority of the outstanding shares of Capital Stock present in person or represented by proxy at the Annual Meeting and entitled to vote on the Adjournment Proposal and which have</w:t>
      </w:r>
    </w:p>
    <w:p>
      <w:pPr>
        <w:spacing w:after="0"/>
        <w:rPr>
          <w:sz w:val="20"/>
          <w:szCs w:val="20"/>
          <w:color w:val="auto"/>
        </w:rPr>
      </w:pPr>
      <w:r>
        <w:rPr>
          <w:rFonts w:ascii="Times New Roman" w:cs="Times New Roman" w:eastAsia="Times New Roman" w:hAnsi="Times New Roman"/>
          <w:sz w:val="18"/>
          <w:szCs w:val="18"/>
          <w:color w:val="auto"/>
        </w:rPr>
        <w:t>actually been voted.</w:t>
      </w: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359410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80" w:top="104" w:right="65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Such officers, directors and greater than 10% stockholders are required by SEC regulations to furnish the Company with copies of all Section 16(a) forms they file.</w:t>
      </w:r>
    </w:p>
    <w:p>
      <w:pPr>
        <w:spacing w:after="0" w:line="15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To the Company’s knowledge, based solely on a review of forms filed with the SEC and on written representations from reporting persons that no other reports were required, all Section 16(a) filing requirements applicable to our officers, directors and greater than 10% beneficial owners were complied with during fiscal year ended December 31, 2025, except for one late filing of a Form 3 for Graydon Bensler, and one late filing of a Form 3 for Braeden Lichti.</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know of any matters to be presented at the 2026 annual meeting of stockholders other than those mentioned in this proxy statement. If any other matters properly come before the annual meeting, it is the intention of the persons named in the enclosed form of proxy to vote the shares they represent as our Board recommends.</w:t>
      </w:r>
    </w:p>
    <w:p>
      <w:pPr>
        <w:spacing w:after="0" w:line="1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with respect to the beneficial ownership of our Common Stock as of April 7, 2026, by</w:t>
      </w:r>
    </w:p>
    <w:p>
      <w:pPr>
        <w:spacing w:after="0" w:line="2" w:lineRule="exact"/>
        <w:rPr>
          <w:sz w:val="20"/>
          <w:szCs w:val="20"/>
          <w:color w:val="auto"/>
        </w:rPr>
      </w:pPr>
    </w:p>
    <w:p>
      <w:pPr>
        <w:ind w:right="140" w:firstLine="8"/>
        <w:spacing w:after="0" w:line="230"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to our knowledge, beneficially owns 5% or more of the outstanding shares of our Common Stock, (ii) each of our directors, (iii) each named executive officer (as listed in the Summary Compensation Table, which appears later in this proxy statement), and (iv) all current directors and executive officers as a group. None of the shares reported as beneficially owned by our directors or executive officers are currently pledged as security for any outstanding loan or indebtedness.</w:t>
      </w:r>
    </w:p>
    <w:p>
      <w:pPr>
        <w:spacing w:after="0" w:line="15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Unless otherwise indicated, the persons or entities identified in this table have sole voting and investment power with respect to all shares shown as beneficially owned by them, subject to applicable community property laws. As of April 7, 2026, there were 5,147,204 shares of our Common Stock outstanding and 263,753 shares of our Series A Convertible Preferred Stock outstanding. The as converted number of shares of Common Stock represented by the Series A Convertible Preferred Stock is 5,275,076. The table lists applicable percentage ownership based on 10,422,280 shares of our Common Stock deemed outstanding as of April 7, 2026.</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number of shares beneficially owned includes shares of our Common Stock that each person has the right to acquire within 60 days of April 7, 2026, including upon the vesting of stock awards and the exercise of stock options. These stock awards and options are deemed outstanding for the purpose of computing the percentage of outstanding shares of our Common Stock owned by such person but are not deemed outstanding for the purpose of computing the percentage of outstanding shares of our Common Stock owned by any other person.</w:t>
      </w:r>
    </w:p>
    <w:p>
      <w:pPr>
        <w:spacing w:after="0" w:line="15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Our Common Stock and Series A Convertible Preferred Stock vote together as a single class on the matters presented in this proxy statement, with each share of Series A Convertible Preferred Stock entitled to vote on an as converted basis as a percentage of the total votes of the Common Stock and shares of Series A Convertible Preferred Stock on an as-converted basis. Because the Series A Convertible Preferred Stock is immediately convertible, the “Common Stock Beneficially Owned” amounts in the table include, for each holder of Series A Convertible Preferred Stock, the number of shares of Common Stock that would be issuable upon conversion of such holder’s Series A Convertible Preferred Stock. Accordingly, the percentages shown in the column of the table labelled “Common Stock Beneficially Owned” reflect each holder’s voting power on the matters presented in this proxy statement, taking into account the votes attributable to shares of Series A Convertible Preferred Stock on an as converted basis, as a percentage of the total votes of the Common Stock and Series A Convertible Preferred Stock on an as-converted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5"/>
        </w:trPr>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160"/>
        </w:trPr>
        <w:tc>
          <w:tcPr>
            <w:tcW w:w="4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1200" w:type="dxa"/>
            <w:vAlign w:val="bottom"/>
          </w:tcPr>
          <w:p>
            <w:pPr>
              <w:spacing w:after="0"/>
              <w:rPr>
                <w:sz w:val="13"/>
                <w:szCs w:val="13"/>
                <w:color w:val="auto"/>
              </w:rPr>
            </w:pPr>
          </w:p>
        </w:tc>
        <w:tc>
          <w:tcPr>
            <w:tcW w:w="1160" w:type="dxa"/>
            <w:vAlign w:val="bottom"/>
          </w:tcPr>
          <w:p>
            <w:pPr>
              <w:jc w:val="center"/>
              <w:ind w:left="11"/>
              <w:spacing w:after="0" w:line="160" w:lineRule="exact"/>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25"/>
        </w:trPr>
        <w:tc>
          <w:tcPr>
            <w:tcW w:w="4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(1)</w:t>
            </w:r>
          </w:p>
        </w:tc>
        <w:tc>
          <w:tcPr>
            <w:tcW w:w="2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151"/>
        </w:trPr>
        <w:tc>
          <w:tcPr>
            <w:tcW w:w="4620" w:type="dxa"/>
            <w:vAlign w:val="bottom"/>
            <w:shd w:val="clear" w:color="auto" w:fill="DDEBF7"/>
          </w:tcPr>
          <w:p>
            <w:pPr>
              <w:spacing w:after="0" w:line="150" w:lineRule="exact"/>
              <w:rPr>
                <w:sz w:val="20"/>
                <w:szCs w:val="20"/>
                <w:color w:val="auto"/>
              </w:rPr>
            </w:pPr>
            <w:r>
              <w:rPr>
                <w:rFonts w:ascii="Times New Roman" w:cs="Times New Roman" w:eastAsia="Times New Roman" w:hAnsi="Times New Roman"/>
                <w:sz w:val="17"/>
                <w:szCs w:val="17"/>
                <w:color w:val="auto"/>
              </w:rPr>
              <w:t>About Investment Pte. Ltd (2)</w:t>
            </w:r>
          </w:p>
        </w:tc>
        <w:tc>
          <w:tcPr>
            <w:tcW w:w="3020" w:type="dxa"/>
            <w:vAlign w:val="bottom"/>
            <w:gridSpan w:val="2"/>
            <w:shd w:val="clear" w:color="auto" w:fill="DDEBF7"/>
          </w:tcPr>
          <w:p>
            <w:pPr>
              <w:ind w:left="2320"/>
              <w:spacing w:after="0" w:line="150" w:lineRule="exact"/>
              <w:rPr>
                <w:sz w:val="20"/>
                <w:szCs w:val="20"/>
                <w:color w:val="auto"/>
              </w:rPr>
            </w:pPr>
            <w:r>
              <w:rPr>
                <w:rFonts w:ascii="Times New Roman" w:cs="Times New Roman" w:eastAsia="Times New Roman" w:hAnsi="Times New Roman"/>
                <w:sz w:val="17"/>
                <w:szCs w:val="17"/>
                <w:color w:val="auto"/>
              </w:rPr>
              <w:t>86,478</w:t>
            </w:r>
          </w:p>
        </w:tc>
        <w:tc>
          <w:tcPr>
            <w:tcW w:w="1240" w:type="dxa"/>
            <w:vAlign w:val="bottom"/>
            <w:shd w:val="clear" w:color="auto" w:fill="DDEBF7"/>
          </w:tcPr>
          <w:p>
            <w:pPr>
              <w:jc w:val="center"/>
              <w:spacing w:after="0" w:line="150" w:lineRule="exact"/>
              <w:rPr>
                <w:sz w:val="20"/>
                <w:szCs w:val="20"/>
                <w:color w:val="auto"/>
              </w:rPr>
            </w:pPr>
            <w:r>
              <w:rPr>
                <w:rFonts w:ascii="Times New Roman" w:cs="Times New Roman" w:eastAsia="Times New Roman" w:hAnsi="Times New Roman"/>
                <w:sz w:val="17"/>
                <w:szCs w:val="17"/>
                <w:color w:val="auto"/>
              </w:rPr>
              <w:t>32.8%</w:t>
            </w:r>
          </w:p>
        </w:tc>
        <w:tc>
          <w:tcPr>
            <w:tcW w:w="1200" w:type="dxa"/>
            <w:vAlign w:val="bottom"/>
            <w:shd w:val="clear" w:color="auto" w:fill="DDEBF7"/>
          </w:tcPr>
          <w:p>
            <w:pPr>
              <w:jc w:val="center"/>
              <w:spacing w:after="0" w:line="150" w:lineRule="exact"/>
              <w:rPr>
                <w:sz w:val="20"/>
                <w:szCs w:val="20"/>
                <w:color w:val="auto"/>
              </w:rPr>
            </w:pPr>
            <w:r>
              <w:rPr>
                <w:rFonts w:ascii="Times New Roman" w:cs="Times New Roman" w:eastAsia="Times New Roman" w:hAnsi="Times New Roman"/>
                <w:sz w:val="17"/>
                <w:szCs w:val="17"/>
                <w:color w:val="auto"/>
              </w:rPr>
              <w:t>1,729,548</w:t>
            </w:r>
          </w:p>
        </w:tc>
        <w:tc>
          <w:tcPr>
            <w:tcW w:w="1160" w:type="dxa"/>
            <w:vAlign w:val="bottom"/>
            <w:shd w:val="clear" w:color="auto" w:fill="DDEBF7"/>
          </w:tcPr>
          <w:p>
            <w:pPr>
              <w:jc w:val="center"/>
              <w:ind w:left="71"/>
              <w:spacing w:after="0" w:line="150" w:lineRule="exact"/>
              <w:rPr>
                <w:sz w:val="20"/>
                <w:szCs w:val="20"/>
                <w:color w:val="auto"/>
              </w:rPr>
            </w:pPr>
            <w:r>
              <w:rPr>
                <w:rFonts w:ascii="Times New Roman" w:cs="Times New Roman" w:eastAsia="Times New Roman" w:hAnsi="Times New Roman"/>
                <w:sz w:val="17"/>
                <w:szCs w:val="17"/>
                <w:color w:val="auto"/>
              </w:rPr>
              <w:t>16.6%</w:t>
            </w:r>
          </w:p>
        </w:tc>
      </w:tr>
      <w:tr>
        <w:trPr>
          <w:trHeight w:val="221"/>
        </w:trPr>
        <w:tc>
          <w:tcPr>
            <w:tcW w:w="462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71 Robinson Road, Singapore 068895</w:t>
            </w:r>
          </w:p>
        </w:tc>
        <w:tc>
          <w:tcPr>
            <w:tcW w:w="2000" w:type="dxa"/>
            <w:vAlign w:val="bottom"/>
            <w:shd w:val="clear" w:color="auto" w:fill="DDEBF7"/>
          </w:tcPr>
          <w:p>
            <w:pPr>
              <w:spacing w:after="0"/>
              <w:rPr>
                <w:sz w:val="19"/>
                <w:szCs w:val="19"/>
                <w:color w:val="auto"/>
              </w:rPr>
            </w:pPr>
          </w:p>
        </w:tc>
        <w:tc>
          <w:tcPr>
            <w:tcW w:w="1020" w:type="dxa"/>
            <w:vAlign w:val="bottom"/>
            <w:shd w:val="clear" w:color="auto" w:fill="DDEBF7"/>
          </w:tcPr>
          <w:p>
            <w:pPr>
              <w:spacing w:after="0"/>
              <w:rPr>
                <w:sz w:val="19"/>
                <w:szCs w:val="19"/>
                <w:color w:val="auto"/>
              </w:rPr>
            </w:pPr>
          </w:p>
        </w:tc>
        <w:tc>
          <w:tcPr>
            <w:tcW w:w="1240" w:type="dxa"/>
            <w:vAlign w:val="bottom"/>
            <w:shd w:val="clear" w:color="auto" w:fill="DDEBF7"/>
          </w:tcPr>
          <w:p>
            <w:pPr>
              <w:spacing w:after="0"/>
              <w:rPr>
                <w:sz w:val="19"/>
                <w:szCs w:val="19"/>
                <w:color w:val="auto"/>
              </w:rPr>
            </w:pPr>
          </w:p>
        </w:tc>
        <w:tc>
          <w:tcPr>
            <w:tcW w:w="1200" w:type="dxa"/>
            <w:vAlign w:val="bottom"/>
            <w:shd w:val="clear" w:color="auto" w:fill="DDEBF7"/>
          </w:tcPr>
          <w:p>
            <w:pPr>
              <w:spacing w:after="0"/>
              <w:rPr>
                <w:sz w:val="19"/>
                <w:szCs w:val="19"/>
                <w:color w:val="auto"/>
              </w:rPr>
            </w:pPr>
          </w:p>
        </w:tc>
        <w:tc>
          <w:tcPr>
            <w:tcW w:w="1160" w:type="dxa"/>
            <w:vAlign w:val="bottom"/>
            <w:shd w:val="clear" w:color="auto" w:fill="DDEBF7"/>
          </w:tcPr>
          <w:p>
            <w:pPr>
              <w:spacing w:after="0"/>
              <w:rPr>
                <w:sz w:val="19"/>
                <w:szCs w:val="19"/>
                <w:color w:val="auto"/>
              </w:rPr>
            </w:pPr>
          </w:p>
        </w:tc>
      </w:tr>
      <w:tr>
        <w:trPr>
          <w:trHeight w:val="157"/>
        </w:trPr>
        <w:tc>
          <w:tcPr>
            <w:tcW w:w="46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Univest Securities LLC (3)</w:t>
            </w:r>
          </w:p>
        </w:tc>
        <w:tc>
          <w:tcPr>
            <w:tcW w:w="3020" w:type="dxa"/>
            <w:vAlign w:val="bottom"/>
            <w:gridSpan w:val="2"/>
          </w:tcPr>
          <w:p>
            <w:pPr>
              <w:ind w:left="2320"/>
              <w:spacing w:after="0" w:line="157" w:lineRule="exact"/>
              <w:rPr>
                <w:sz w:val="20"/>
                <w:szCs w:val="20"/>
                <w:color w:val="auto"/>
              </w:rPr>
            </w:pPr>
            <w:r>
              <w:rPr>
                <w:rFonts w:ascii="Times New Roman" w:cs="Times New Roman" w:eastAsia="Times New Roman" w:hAnsi="Times New Roman"/>
                <w:sz w:val="18"/>
                <w:szCs w:val="18"/>
                <w:color w:val="auto"/>
              </w:rPr>
              <w:t>65,001</w:t>
            </w:r>
          </w:p>
        </w:tc>
        <w:tc>
          <w:tcPr>
            <w:tcW w:w="124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24.6%</w:t>
            </w:r>
          </w:p>
        </w:tc>
        <w:tc>
          <w:tcPr>
            <w:tcW w:w="120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1,300,027</w:t>
            </w:r>
          </w:p>
        </w:tc>
        <w:tc>
          <w:tcPr>
            <w:tcW w:w="1160" w:type="dxa"/>
            <w:vAlign w:val="bottom"/>
          </w:tcPr>
          <w:p>
            <w:pPr>
              <w:jc w:val="center"/>
              <w:ind w:left="71"/>
              <w:spacing w:after="0" w:line="157" w:lineRule="exact"/>
              <w:rPr>
                <w:sz w:val="20"/>
                <w:szCs w:val="20"/>
                <w:color w:val="auto"/>
              </w:rPr>
            </w:pPr>
            <w:r>
              <w:rPr>
                <w:rFonts w:ascii="Times New Roman" w:cs="Times New Roman" w:eastAsia="Times New Roman" w:hAnsi="Times New Roman"/>
                <w:sz w:val="18"/>
                <w:szCs w:val="18"/>
                <w:color w:val="auto"/>
              </w:rPr>
              <w:t>12.5%</w:t>
            </w: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75 Rockerfeller Plaza, New York, NY 10019</w:t>
            </w:r>
          </w:p>
        </w:tc>
        <w:tc>
          <w:tcPr>
            <w:tcW w:w="2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57"/>
        </w:trPr>
        <w:tc>
          <w:tcPr>
            <w:tcW w:w="4620" w:type="dxa"/>
            <w:vAlign w:val="bottom"/>
            <w:shd w:val="clear" w:color="auto" w:fill="DDEBF7"/>
          </w:tcPr>
          <w:p>
            <w:pPr>
              <w:spacing w:after="0" w:line="157" w:lineRule="exact"/>
              <w:rPr>
                <w:sz w:val="20"/>
                <w:szCs w:val="20"/>
                <w:color w:val="auto"/>
              </w:rPr>
            </w:pPr>
            <w:r>
              <w:rPr>
                <w:rFonts w:ascii="Times New Roman" w:cs="Times New Roman" w:eastAsia="Times New Roman" w:hAnsi="Times New Roman"/>
                <w:sz w:val="18"/>
                <w:szCs w:val="18"/>
                <w:color w:val="auto"/>
              </w:rPr>
              <w:t>Hongyu Wang (4)</w:t>
            </w:r>
          </w:p>
        </w:tc>
        <w:tc>
          <w:tcPr>
            <w:tcW w:w="3020" w:type="dxa"/>
            <w:vAlign w:val="bottom"/>
            <w:gridSpan w:val="2"/>
            <w:shd w:val="clear" w:color="auto" w:fill="DDEBF7"/>
          </w:tcPr>
          <w:p>
            <w:pPr>
              <w:ind w:left="2320"/>
              <w:spacing w:after="0" w:line="157" w:lineRule="exact"/>
              <w:rPr>
                <w:sz w:val="20"/>
                <w:szCs w:val="20"/>
                <w:color w:val="auto"/>
              </w:rPr>
            </w:pPr>
            <w:r>
              <w:rPr>
                <w:rFonts w:ascii="Times New Roman" w:cs="Times New Roman" w:eastAsia="Times New Roman" w:hAnsi="Times New Roman"/>
                <w:sz w:val="18"/>
                <w:szCs w:val="18"/>
                <w:color w:val="auto"/>
              </w:rPr>
              <w:t>47,274</w:t>
            </w:r>
          </w:p>
        </w:tc>
        <w:tc>
          <w:tcPr>
            <w:tcW w:w="1240" w:type="dxa"/>
            <w:vAlign w:val="bottom"/>
            <w:shd w:val="clear" w:color="auto" w:fill="DDEBF7"/>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17.9%</w:t>
            </w:r>
          </w:p>
        </w:tc>
        <w:tc>
          <w:tcPr>
            <w:tcW w:w="1200" w:type="dxa"/>
            <w:vAlign w:val="bottom"/>
            <w:shd w:val="clear" w:color="auto" w:fill="DDEBF7"/>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945,474</w:t>
            </w:r>
          </w:p>
        </w:tc>
        <w:tc>
          <w:tcPr>
            <w:tcW w:w="1160" w:type="dxa"/>
            <w:vAlign w:val="bottom"/>
            <w:shd w:val="clear" w:color="auto" w:fill="DDEBF7"/>
          </w:tcPr>
          <w:p>
            <w:pPr>
              <w:jc w:val="center"/>
              <w:ind w:left="71"/>
              <w:spacing w:after="0" w:line="157" w:lineRule="exact"/>
              <w:rPr>
                <w:sz w:val="20"/>
                <w:szCs w:val="20"/>
                <w:color w:val="auto"/>
              </w:rPr>
            </w:pPr>
            <w:r>
              <w:rPr>
                <w:rFonts w:ascii="Times New Roman" w:cs="Times New Roman" w:eastAsia="Times New Roman" w:hAnsi="Times New Roman"/>
                <w:sz w:val="18"/>
                <w:szCs w:val="18"/>
                <w:color w:val="auto"/>
                <w:w w:val="95"/>
              </w:rPr>
              <w:t>9.1%</w:t>
            </w:r>
          </w:p>
        </w:tc>
      </w:tr>
      <w:tr>
        <w:trPr>
          <w:trHeight w:val="189"/>
        </w:trPr>
        <w:tc>
          <w:tcPr>
            <w:tcW w:w="4620" w:type="dxa"/>
            <w:vAlign w:val="bottom"/>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Zhenxingjiedao, Dacui Cun, 332 Hao,</w:t>
            </w:r>
          </w:p>
        </w:tc>
        <w:tc>
          <w:tcPr>
            <w:tcW w:w="2000" w:type="dxa"/>
            <w:vAlign w:val="bottom"/>
            <w:shd w:val="clear" w:color="auto" w:fill="DDEBF7"/>
          </w:tcPr>
          <w:p>
            <w:pPr>
              <w:spacing w:after="0"/>
              <w:rPr>
                <w:sz w:val="16"/>
                <w:szCs w:val="16"/>
                <w:color w:val="auto"/>
              </w:rPr>
            </w:pPr>
          </w:p>
        </w:tc>
        <w:tc>
          <w:tcPr>
            <w:tcW w:w="1020" w:type="dxa"/>
            <w:vAlign w:val="bottom"/>
            <w:shd w:val="clear" w:color="auto" w:fill="DDEBF7"/>
          </w:tcPr>
          <w:p>
            <w:pPr>
              <w:spacing w:after="0"/>
              <w:rPr>
                <w:sz w:val="16"/>
                <w:szCs w:val="16"/>
                <w:color w:val="auto"/>
              </w:rPr>
            </w:pPr>
          </w:p>
        </w:tc>
        <w:tc>
          <w:tcPr>
            <w:tcW w:w="1240" w:type="dxa"/>
            <w:vAlign w:val="bottom"/>
            <w:shd w:val="clear" w:color="auto" w:fill="DDEBF7"/>
          </w:tcPr>
          <w:p>
            <w:pPr>
              <w:spacing w:after="0"/>
              <w:rPr>
                <w:sz w:val="16"/>
                <w:szCs w:val="16"/>
                <w:color w:val="auto"/>
              </w:rPr>
            </w:pPr>
          </w:p>
        </w:tc>
        <w:tc>
          <w:tcPr>
            <w:tcW w:w="1200" w:type="dxa"/>
            <w:vAlign w:val="bottom"/>
            <w:shd w:val="clear" w:color="auto" w:fill="DDEBF7"/>
          </w:tcPr>
          <w:p>
            <w:pPr>
              <w:spacing w:after="0"/>
              <w:rPr>
                <w:sz w:val="16"/>
                <w:szCs w:val="16"/>
                <w:color w:val="auto"/>
              </w:rPr>
            </w:pPr>
          </w:p>
        </w:tc>
        <w:tc>
          <w:tcPr>
            <w:tcW w:w="1160" w:type="dxa"/>
            <w:vAlign w:val="bottom"/>
            <w:shd w:val="clear" w:color="auto" w:fill="DDEBF7"/>
          </w:tcPr>
          <w:p>
            <w:pPr>
              <w:spacing w:after="0"/>
              <w:rPr>
                <w:sz w:val="16"/>
                <w:szCs w:val="16"/>
                <w:color w:val="auto"/>
              </w:rPr>
            </w:pPr>
          </w:p>
        </w:tc>
      </w:tr>
      <w:tr>
        <w:trPr>
          <w:trHeight w:val="221"/>
        </w:trPr>
        <w:tc>
          <w:tcPr>
            <w:tcW w:w="462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Chiping Xian, Shandong, China</w:t>
            </w:r>
          </w:p>
        </w:tc>
        <w:tc>
          <w:tcPr>
            <w:tcW w:w="2000" w:type="dxa"/>
            <w:vAlign w:val="bottom"/>
            <w:shd w:val="clear" w:color="auto" w:fill="DDEBF7"/>
          </w:tcPr>
          <w:p>
            <w:pPr>
              <w:spacing w:after="0"/>
              <w:rPr>
                <w:sz w:val="19"/>
                <w:szCs w:val="19"/>
                <w:color w:val="auto"/>
              </w:rPr>
            </w:pPr>
          </w:p>
        </w:tc>
        <w:tc>
          <w:tcPr>
            <w:tcW w:w="1020" w:type="dxa"/>
            <w:vAlign w:val="bottom"/>
            <w:shd w:val="clear" w:color="auto" w:fill="DDEBF7"/>
          </w:tcPr>
          <w:p>
            <w:pPr>
              <w:spacing w:after="0"/>
              <w:rPr>
                <w:sz w:val="19"/>
                <w:szCs w:val="19"/>
                <w:color w:val="auto"/>
              </w:rPr>
            </w:pPr>
          </w:p>
        </w:tc>
        <w:tc>
          <w:tcPr>
            <w:tcW w:w="1240" w:type="dxa"/>
            <w:vAlign w:val="bottom"/>
            <w:shd w:val="clear" w:color="auto" w:fill="DDEBF7"/>
          </w:tcPr>
          <w:p>
            <w:pPr>
              <w:spacing w:after="0"/>
              <w:rPr>
                <w:sz w:val="19"/>
                <w:szCs w:val="19"/>
                <w:color w:val="auto"/>
              </w:rPr>
            </w:pPr>
          </w:p>
        </w:tc>
        <w:tc>
          <w:tcPr>
            <w:tcW w:w="1200" w:type="dxa"/>
            <w:vAlign w:val="bottom"/>
            <w:shd w:val="clear" w:color="auto" w:fill="DDEBF7"/>
          </w:tcPr>
          <w:p>
            <w:pPr>
              <w:spacing w:after="0"/>
              <w:rPr>
                <w:sz w:val="19"/>
                <w:szCs w:val="19"/>
                <w:color w:val="auto"/>
              </w:rPr>
            </w:pPr>
          </w:p>
        </w:tc>
        <w:tc>
          <w:tcPr>
            <w:tcW w:w="1160" w:type="dxa"/>
            <w:vAlign w:val="bottom"/>
            <w:shd w:val="clear" w:color="auto" w:fill="DDEBF7"/>
          </w:tcPr>
          <w:p>
            <w:pPr>
              <w:spacing w:after="0"/>
              <w:rPr>
                <w:sz w:val="19"/>
                <w:szCs w:val="19"/>
                <w:color w:val="auto"/>
              </w:rPr>
            </w:pP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Graydon Bensler</w:t>
            </w:r>
          </w:p>
        </w:tc>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Braeden Lichti</w:t>
            </w:r>
          </w:p>
        </w:tc>
        <w:tc>
          <w:tcPr>
            <w:tcW w:w="2000" w:type="dxa"/>
            <w:vAlign w:val="bottom"/>
            <w:shd w:val="clear" w:color="auto" w:fill="DDEBF7"/>
          </w:tcPr>
          <w:p>
            <w:pPr>
              <w:spacing w:after="0"/>
              <w:rPr>
                <w:sz w:val="16"/>
                <w:szCs w:val="16"/>
                <w:color w:val="auto"/>
              </w:rPr>
            </w:pPr>
          </w:p>
        </w:tc>
        <w:tc>
          <w:tcPr>
            <w:tcW w:w="1020" w:type="dxa"/>
            <w:vAlign w:val="bottom"/>
            <w:shd w:val="clear" w:color="auto" w:fill="DDEBF7"/>
          </w:tcPr>
          <w:p>
            <w:pPr>
              <w:spacing w:after="0"/>
              <w:rPr>
                <w:sz w:val="16"/>
                <w:szCs w:val="16"/>
                <w:color w:val="auto"/>
              </w:rPr>
            </w:pPr>
          </w:p>
        </w:tc>
        <w:tc>
          <w:tcPr>
            <w:tcW w:w="1240" w:type="dxa"/>
            <w:vAlign w:val="bottom"/>
            <w:shd w:val="clear" w:color="auto" w:fill="DDEBF7"/>
          </w:tcPr>
          <w:p>
            <w:pPr>
              <w:spacing w:after="0"/>
              <w:rPr>
                <w:sz w:val="16"/>
                <w:szCs w:val="16"/>
                <w:color w:val="auto"/>
              </w:rPr>
            </w:pPr>
          </w:p>
        </w:tc>
        <w:tc>
          <w:tcPr>
            <w:tcW w:w="12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DDEBF7"/>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Rick Sterling (5)</w:t>
            </w:r>
          </w:p>
        </w:tc>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3,318</w:t>
            </w:r>
          </w:p>
        </w:tc>
        <w:tc>
          <w:tcPr>
            <w:tcW w:w="1160" w:type="dxa"/>
            <w:vAlign w:val="bottom"/>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Sylvia Wulf (5)</w:t>
            </w:r>
          </w:p>
        </w:tc>
        <w:tc>
          <w:tcPr>
            <w:tcW w:w="2000" w:type="dxa"/>
            <w:vAlign w:val="bottom"/>
            <w:shd w:val="clear" w:color="auto" w:fill="DDEBF7"/>
          </w:tcPr>
          <w:p>
            <w:pPr>
              <w:spacing w:after="0"/>
              <w:rPr>
                <w:sz w:val="16"/>
                <w:szCs w:val="16"/>
                <w:color w:val="auto"/>
              </w:rPr>
            </w:pPr>
          </w:p>
        </w:tc>
        <w:tc>
          <w:tcPr>
            <w:tcW w:w="1020" w:type="dxa"/>
            <w:vAlign w:val="bottom"/>
            <w:shd w:val="clear" w:color="auto" w:fill="DDEBF7"/>
          </w:tcPr>
          <w:p>
            <w:pPr>
              <w:spacing w:after="0"/>
              <w:rPr>
                <w:sz w:val="16"/>
                <w:szCs w:val="16"/>
                <w:color w:val="auto"/>
              </w:rPr>
            </w:pPr>
          </w:p>
        </w:tc>
        <w:tc>
          <w:tcPr>
            <w:tcW w:w="1240" w:type="dxa"/>
            <w:vAlign w:val="bottom"/>
            <w:shd w:val="clear" w:color="auto" w:fill="DDEBF7"/>
          </w:tcPr>
          <w:p>
            <w:pPr>
              <w:spacing w:after="0"/>
              <w:rPr>
                <w:sz w:val="16"/>
                <w:szCs w:val="16"/>
                <w:color w:val="auto"/>
              </w:rPr>
            </w:pPr>
          </w:p>
        </w:tc>
        <w:tc>
          <w:tcPr>
            <w:tcW w:w="12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33,867</w:t>
            </w:r>
          </w:p>
        </w:tc>
        <w:tc>
          <w:tcPr>
            <w:tcW w:w="1160" w:type="dxa"/>
            <w:vAlign w:val="bottom"/>
            <w:shd w:val="clear" w:color="auto" w:fill="DDEBF7"/>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David Frank (5)</w:t>
            </w:r>
          </w:p>
        </w:tc>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15,060</w:t>
            </w:r>
          </w:p>
        </w:tc>
        <w:tc>
          <w:tcPr>
            <w:tcW w:w="1160" w:type="dxa"/>
            <w:vAlign w:val="bottom"/>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tcBorders>
              <w:bottom w:val="single" w:sz="8" w:color="auto"/>
            </w:tcBorders>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Executive officers and directors as a group (5 persons)</w:t>
            </w:r>
          </w:p>
        </w:tc>
        <w:tc>
          <w:tcPr>
            <w:tcW w:w="2000" w:type="dxa"/>
            <w:vAlign w:val="bottom"/>
            <w:tcBorders>
              <w:bottom w:val="single" w:sz="8" w:color="auto"/>
            </w:tcBorders>
            <w:shd w:val="clear" w:color="auto" w:fill="DDEBF7"/>
          </w:tcPr>
          <w:p>
            <w:pPr>
              <w:spacing w:after="0"/>
              <w:rPr>
                <w:sz w:val="16"/>
                <w:szCs w:val="16"/>
                <w:color w:val="auto"/>
              </w:rPr>
            </w:pPr>
          </w:p>
        </w:tc>
        <w:tc>
          <w:tcPr>
            <w:tcW w:w="1020" w:type="dxa"/>
            <w:vAlign w:val="bottom"/>
            <w:tcBorders>
              <w:bottom w:val="single" w:sz="8" w:color="auto"/>
            </w:tcBorders>
            <w:shd w:val="clear" w:color="auto" w:fill="DDEBF7"/>
          </w:tcPr>
          <w:p>
            <w:pPr>
              <w:spacing w:after="0"/>
              <w:rPr>
                <w:sz w:val="16"/>
                <w:szCs w:val="16"/>
                <w:color w:val="auto"/>
              </w:rPr>
            </w:pPr>
          </w:p>
        </w:tc>
        <w:tc>
          <w:tcPr>
            <w:tcW w:w="1240" w:type="dxa"/>
            <w:vAlign w:val="bottom"/>
            <w:tcBorders>
              <w:bottom w:val="single" w:sz="8" w:color="auto"/>
            </w:tcBorders>
            <w:shd w:val="clear" w:color="auto" w:fill="DDEBF7"/>
          </w:tcPr>
          <w:p>
            <w:pPr>
              <w:spacing w:after="0"/>
              <w:rPr>
                <w:sz w:val="16"/>
                <w:szCs w:val="16"/>
                <w:color w:val="auto"/>
              </w:rPr>
            </w:pPr>
          </w:p>
        </w:tc>
        <w:tc>
          <w:tcPr>
            <w:tcW w:w="1200" w:type="dxa"/>
            <w:vAlign w:val="bottom"/>
            <w:tcBorders>
              <w:bottom w:val="single" w:sz="8" w:color="auto"/>
            </w:tcBorders>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52,245</w:t>
            </w:r>
          </w:p>
        </w:tc>
        <w:tc>
          <w:tcPr>
            <w:tcW w:w="1160" w:type="dxa"/>
            <w:vAlign w:val="bottom"/>
            <w:tcBorders>
              <w:bottom w:val="single" w:sz="8" w:color="auto"/>
            </w:tcBorders>
            <w:shd w:val="clear" w:color="auto" w:fill="DDEBF7"/>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bl>
    <w:p>
      <w:pPr>
        <w:spacing w:after="0" w:line="103" w:lineRule="exact"/>
        <w:rPr>
          <w:sz w:val="20"/>
          <w:szCs w:val="20"/>
          <w:color w:val="auto"/>
        </w:rPr>
      </w:pPr>
    </w:p>
    <w:p>
      <w:pPr>
        <w:ind w:left="1180" w:right="940" w:hanging="258"/>
        <w:spacing w:after="0" w:line="250" w:lineRule="auto"/>
        <w:rPr>
          <w:sz w:val="20"/>
          <w:szCs w:val="20"/>
          <w:color w:val="auto"/>
        </w:rPr>
      </w:pPr>
      <w:r>
        <w:rPr>
          <w:rFonts w:ascii="Times New Roman" w:cs="Times New Roman" w:eastAsia="Times New Roman" w:hAnsi="Times New Roman"/>
          <w:sz w:val="18"/>
          <w:szCs w:val="18"/>
          <w:color w:val="auto"/>
        </w:rPr>
        <w:t>*Indicates beneficial ownership of less than one percent of the Common Stock and Series A Convertible Preferred Stock on an as-converted basis.</w:t>
      </w:r>
    </w:p>
    <w:p>
      <w:pPr>
        <w:spacing w:after="0" w:line="55" w:lineRule="exact"/>
        <w:rPr>
          <w:sz w:val="20"/>
          <w:szCs w:val="20"/>
          <w:color w:val="auto"/>
        </w:rPr>
      </w:pPr>
    </w:p>
    <w:p>
      <w:pPr>
        <w:ind w:left="1180" w:right="960" w:hanging="265"/>
        <w:spacing w:after="0" w:line="266" w:lineRule="auto"/>
        <w:tabs>
          <w:tab w:leader="none" w:pos="1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AquaBounty Technologies, Inc., 233 Ayer Road, Suite 4, Harvard, MA 01451.</w:t>
      </w:r>
    </w:p>
    <w:p>
      <w:pPr>
        <w:spacing w:after="0" w:line="40" w:lineRule="exact"/>
        <w:rPr>
          <w:rFonts w:ascii="Times New Roman" w:cs="Times New Roman" w:eastAsia="Times New Roman" w:hAnsi="Times New Roman"/>
          <w:sz w:val="18"/>
          <w:szCs w:val="18"/>
          <w:color w:val="auto"/>
        </w:rPr>
      </w:pPr>
    </w:p>
    <w:p>
      <w:pPr>
        <w:ind w:left="1180" w:right="1280" w:hanging="265"/>
        <w:spacing w:after="0" w:line="266" w:lineRule="auto"/>
        <w:tabs>
          <w:tab w:leader="none" w:pos="1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1,729,548 shares of Common Stock issuable upon conversion of 86,478 shares of Series A Convertible Preferred Stock, which is convertible at the holder’s option.</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ind w:left="265" w:right="260" w:hanging="265"/>
        <w:spacing w:after="0" w:line="266"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1,300,027 shares of Common Stock issuable upon conversion of 65,001 shares of Series A Convertible Preferred Stock, which is convertible at the holder’s option.</w:t>
      </w:r>
    </w:p>
    <w:p>
      <w:pPr>
        <w:spacing w:after="0" w:line="40" w:lineRule="exact"/>
        <w:rPr>
          <w:rFonts w:ascii="Times New Roman" w:cs="Times New Roman" w:eastAsia="Times New Roman" w:hAnsi="Times New Roman"/>
          <w:sz w:val="18"/>
          <w:szCs w:val="18"/>
          <w:color w:val="auto"/>
        </w:rPr>
      </w:pPr>
    </w:p>
    <w:p>
      <w:pPr>
        <w:ind w:left="265" w:right="140" w:hanging="265"/>
        <w:spacing w:after="0" w:line="250"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945,474 shares of Common Stock issuable upon the conversion of 47,274 shares of Series A Convertible Preferred Stock, which is convertible at the holder’s option.</w:t>
      </w:r>
    </w:p>
    <w:p>
      <w:pPr>
        <w:spacing w:after="0" w:line="68" w:lineRule="exact"/>
        <w:rPr>
          <w:rFonts w:ascii="Times New Roman" w:cs="Times New Roman" w:eastAsia="Times New Roman" w:hAnsi="Times New Roman"/>
          <w:sz w:val="18"/>
          <w:szCs w:val="18"/>
          <w:color w:val="auto"/>
        </w:rPr>
      </w:pPr>
    </w:p>
    <w:p>
      <w:pPr>
        <w:ind w:left="265" w:hanging="265"/>
        <w:spacing w:after="0" w:line="250"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shares of Common Stock to be issued pursuant to the vesting and exercise of outstanding stock options within 60 days of April 7, 2026:</w:t>
      </w:r>
    </w:p>
    <w:p>
      <w:pPr>
        <w:spacing w:after="0" w:line="68" w:lineRule="exact"/>
        <w:rPr>
          <w:rFonts w:ascii="Times New Roman" w:cs="Times New Roman" w:eastAsia="Times New Roman" w:hAnsi="Times New Roman"/>
          <w:sz w:val="18"/>
          <w:szCs w:val="18"/>
          <w:color w:val="auto"/>
        </w:rPr>
      </w:pPr>
    </w:p>
    <w:p>
      <w:pPr>
        <w:ind w:left="5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 w:lineRule="exact"/>
        <w:rPr>
          <w:rFonts w:ascii="Times New Roman" w:cs="Times New Roman" w:eastAsia="Times New Roman" w:hAnsi="Times New Roman"/>
          <w:sz w:val="18"/>
          <w:szCs w:val="18"/>
          <w:color w:val="auto"/>
        </w:rPr>
      </w:pPr>
    </w:p>
    <w:p>
      <w:pPr>
        <w:jc w:val="both"/>
        <w:ind w:left="1225" w:right="540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17,115 shares for Ms. Wulf. Includes 475 shares for Mr. Sterling. Includes 7,822 shares for Mr. Frank.</w:t>
      </w:r>
    </w:p>
    <w:p>
      <w:pPr>
        <w:ind w:left="9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25,412 shares for our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350520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05"/>
          </w:cols>
          <w:pgMar w:left="1235" w:top="337" w:right="135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32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02"/>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200" w:type="dxa"/>
            <w:vAlign w:val="bottom"/>
          </w:tcPr>
          <w:p>
            <w:pPr>
              <w:jc w:val="center"/>
              <w:ind w:left="670"/>
              <w:spacing w:after="0" w:line="202"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38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44"/>
        </w:trPr>
        <w:tc>
          <w:tcPr>
            <w:tcW w:w="2020" w:type="dxa"/>
            <w:vAlign w:val="bottom"/>
            <w:vMerge w:val="continue"/>
          </w:tcPr>
          <w:p>
            <w:pPr>
              <w:spacing w:after="0"/>
              <w:rPr>
                <w:sz w:val="12"/>
                <w:szCs w:val="12"/>
                <w:color w:val="auto"/>
              </w:rPr>
            </w:pPr>
          </w:p>
        </w:tc>
        <w:tc>
          <w:tcPr>
            <w:tcW w:w="3200" w:type="dxa"/>
            <w:vAlign w:val="bottom"/>
            <w:vMerge w:val="restart"/>
          </w:tcPr>
          <w:p>
            <w:pPr>
              <w:jc w:val="center"/>
              <w:ind w:left="6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2380" w:type="dxa"/>
            <w:vAlign w:val="bottom"/>
            <w:vMerge w:val="restart"/>
          </w:tcPr>
          <w:p>
            <w:pPr>
              <w:jc w:val="center"/>
              <w:ind w:left="90"/>
              <w:spacing w:after="0" w:line="189" w:lineRule="exact"/>
              <w:rPr>
                <w:sz w:val="20"/>
                <w:szCs w:val="20"/>
                <w:color w:val="auto"/>
              </w:rPr>
            </w:pPr>
            <w:r>
              <w:rPr>
                <w:rFonts w:ascii="Times New Roman" w:cs="Times New Roman" w:eastAsia="Times New Roman" w:hAnsi="Times New Roman"/>
                <w:sz w:val="18"/>
                <w:szCs w:val="18"/>
                <w:b w:val="1"/>
                <w:bCs w:val="1"/>
                <w:color w:val="auto"/>
              </w:rPr>
              <w:t>future issuance under equity</w:t>
            </w:r>
          </w:p>
        </w:tc>
        <w:tc>
          <w:tcPr>
            <w:tcW w:w="0" w:type="dxa"/>
            <w:vAlign w:val="bottom"/>
          </w:tcPr>
          <w:p>
            <w:pPr>
              <w:spacing w:after="0"/>
              <w:rPr>
                <w:sz w:val="1"/>
                <w:szCs w:val="1"/>
                <w:color w:val="auto"/>
              </w:rPr>
            </w:pPr>
          </w:p>
        </w:tc>
      </w:tr>
      <w:tr>
        <w:trPr>
          <w:trHeight w:val="45"/>
        </w:trPr>
        <w:tc>
          <w:tcPr>
            <w:tcW w:w="2020" w:type="dxa"/>
            <w:vAlign w:val="bottom"/>
          </w:tcPr>
          <w:p>
            <w:pPr>
              <w:spacing w:after="0"/>
              <w:rPr>
                <w:sz w:val="3"/>
                <w:szCs w:val="3"/>
                <w:color w:val="auto"/>
              </w:rPr>
            </w:pPr>
          </w:p>
        </w:tc>
        <w:tc>
          <w:tcPr>
            <w:tcW w:w="3200" w:type="dxa"/>
            <w:vAlign w:val="bottom"/>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32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warrants and rights (2)</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 (3)</w:t>
            </w:r>
          </w:p>
        </w:tc>
        <w:tc>
          <w:tcPr>
            <w:tcW w:w="2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compensation plans (4)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347" w:right="459" w:bottom="1440" w:gutter="0" w:footer="0" w:header="0"/>
        </w:sectPr>
      </w:pPr>
    </w:p>
    <w:p>
      <w:pPr>
        <w:spacing w:after="0" w:line="25" w:lineRule="exact"/>
        <w:rPr>
          <w:sz w:val="20"/>
          <w:szCs w:val="20"/>
          <w:color w:val="auto"/>
        </w:rPr>
      </w:pPr>
    </w:p>
    <w:p>
      <w:pPr>
        <w:ind w:left="20" w:right="940"/>
        <w:spacing w:after="0" w:line="238" w:lineRule="auto"/>
        <w:rPr>
          <w:sz w:val="20"/>
          <w:szCs w:val="20"/>
          <w:color w:val="auto"/>
        </w:rPr>
      </w:pPr>
      <w:r>
        <w:rPr>
          <w:rFonts w:ascii="Times New Roman" w:cs="Times New Roman" w:eastAsia="Times New Roman" w:hAnsi="Times New Roman"/>
          <w:sz w:val="18"/>
          <w:szCs w:val="18"/>
          <w:color w:val="auto"/>
        </w:rPr>
        <w:t>Equity compensation plans approved by security holders (1)</w:t>
      </w:r>
    </w:p>
    <w:p>
      <w:pPr>
        <w:ind w:left="20"/>
        <w:spacing w:after="0" w:line="220" w:lineRule="auto"/>
        <w:rPr>
          <w:sz w:val="20"/>
          <w:szCs w:val="20"/>
          <w:color w:val="auto"/>
        </w:rPr>
      </w:pPr>
      <w:r>
        <w:rPr>
          <w:rFonts w:ascii="Times New Roman" w:cs="Times New Roman" w:eastAsia="Times New Roman" w:hAnsi="Times New Roman"/>
          <w:sz w:val="18"/>
          <w:szCs w:val="18"/>
          <w:color w:val="auto"/>
        </w:rPr>
        <w:t>Equity compensation plans not</w:t>
      </w:r>
    </w:p>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tabs>
          <w:tab w:leader="none" w:pos="820" w:val="left"/>
          <w:tab w:leader="none" w:pos="2340" w:val="left"/>
          <w:tab w:leader="none" w:pos="4800" w:val="left"/>
        </w:tabs>
        <w:rPr>
          <w:sz w:val="20"/>
          <w:szCs w:val="20"/>
          <w:color w:val="auto"/>
        </w:rPr>
      </w:pPr>
      <w:r>
        <w:rPr>
          <w:rFonts w:ascii="Times New Roman" w:cs="Times New Roman" w:eastAsia="Times New Roman" w:hAnsi="Times New Roman"/>
          <w:sz w:val="18"/>
          <w:szCs w:val="18"/>
          <w:color w:val="auto"/>
        </w:rPr>
        <w:t>38,919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42.95</w:t>
      </w:r>
      <w:r>
        <w:rPr>
          <w:sz w:val="20"/>
          <w:szCs w:val="20"/>
          <w:color w:val="auto"/>
        </w:rPr>
        <w:tab/>
      </w:r>
      <w:r>
        <w:rPr>
          <w:rFonts w:ascii="Times New Roman" w:cs="Times New Roman" w:eastAsia="Times New Roman" w:hAnsi="Times New Roman"/>
          <w:sz w:val="17"/>
          <w:szCs w:val="17"/>
          <w:color w:val="auto"/>
        </w:rPr>
        <w:t>107,704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-179070</wp:posOffset>
            </wp:positionV>
            <wp:extent cx="6360795"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60795" cy="257175"/>
                    </a:xfrm>
                    <a:prstGeom prst="rect">
                      <a:avLst/>
                    </a:prstGeom>
                    <a:noFill/>
                  </pic:spPr>
                </pic:pic>
              </a:graphicData>
            </a:graphic>
          </wp:anchor>
        </w:drawing>
      </w:r>
    </w:p>
    <w:p>
      <w:pPr>
        <w:spacing w:after="0" w:line="165" w:lineRule="exact"/>
        <w:rPr>
          <w:sz w:val="20"/>
          <w:szCs w:val="20"/>
          <w:color w:val="auto"/>
        </w:rPr>
      </w:pPr>
    </w:p>
    <w:p>
      <w:pPr>
        <w:ind w:left="340"/>
        <w:spacing w:after="0"/>
        <w:tabs>
          <w:tab w:leader="none" w:pos="820" w:val="left"/>
          <w:tab w:leader="none" w:pos="2660" w:val="left"/>
          <w:tab w:leader="none" w:pos="5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77470</wp:posOffset>
            </wp:positionV>
            <wp:extent cx="636079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60795" cy="12890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840" w:space="720"/>
            <w:col w:w="6560"/>
          </w:cols>
          <w:pgMar w:left="320" w:top="347" w:right="459" w:bottom="1440" w:gutter="0" w:footer="0" w:header="0"/>
          <w:type w:val="continuous"/>
        </w:sectPr>
      </w:pPr>
    </w:p>
    <w:p>
      <w:pPr>
        <w:ind w:left="180"/>
        <w:spacing w:after="0"/>
        <w:tabs>
          <w:tab w:leader="none" w:pos="4560" w:val="left"/>
          <w:tab w:leader="none" w:pos="5360" w:val="left"/>
          <w:tab w:leader="none" w:pos="6900" w:val="left"/>
          <w:tab w:leader="none" w:pos="938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38,919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42.95</w:t>
      </w:r>
      <w:r>
        <w:rPr>
          <w:sz w:val="20"/>
          <w:szCs w:val="20"/>
          <w:color w:val="auto"/>
        </w:rPr>
        <w:tab/>
      </w:r>
      <w:r>
        <w:rPr>
          <w:rFonts w:ascii="Times New Roman" w:cs="Times New Roman" w:eastAsia="Times New Roman" w:hAnsi="Times New Roman"/>
          <w:sz w:val="17"/>
          <w:szCs w:val="17"/>
          <w:color w:val="auto"/>
        </w:rPr>
        <w:t>107,704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3607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81" w:lineRule="exact"/>
        <w:rPr>
          <w:sz w:val="20"/>
          <w:szCs w:val="20"/>
          <w:color w:val="auto"/>
        </w:rPr>
      </w:pPr>
    </w:p>
    <w:p>
      <w:pPr>
        <w:ind w:left="1240" w:hanging="32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Company’s 2006 Plan and the 2016 Plan.</w:t>
      </w:r>
    </w:p>
    <w:p>
      <w:pPr>
        <w:spacing w:after="0" w:line="76" w:lineRule="exact"/>
        <w:rPr>
          <w:rFonts w:ascii="Times New Roman" w:cs="Times New Roman" w:eastAsia="Times New Roman" w:hAnsi="Times New Roman"/>
          <w:sz w:val="18"/>
          <w:szCs w:val="18"/>
          <w:color w:val="auto"/>
        </w:rPr>
      </w:pPr>
    </w:p>
    <w:p>
      <w:pPr>
        <w:ind w:left="1240" w:hanging="32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125 outstanding options under the 2006 Plan and 38,794 outstanding options under the 2016 Plan.</w:t>
      </w:r>
    </w:p>
    <w:p>
      <w:pPr>
        <w:spacing w:after="0" w:line="76" w:lineRule="exact"/>
        <w:rPr>
          <w:rFonts w:ascii="Times New Roman" w:cs="Times New Roman" w:eastAsia="Times New Roman" w:hAnsi="Times New Roman"/>
          <w:sz w:val="18"/>
          <w:szCs w:val="18"/>
          <w:color w:val="auto"/>
        </w:rPr>
      </w:pPr>
    </w:p>
    <w:p>
      <w:pPr>
        <w:ind w:left="1240" w:right="920" w:hanging="325"/>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weighted average exercise price of outstanding options under the 2006 Plan was $192.00, and the weighted average exercise price of outstanding options under the 2016 Plan was $42.47.</w:t>
      </w:r>
    </w:p>
    <w:p>
      <w:pPr>
        <w:spacing w:after="0" w:line="27" w:lineRule="exact"/>
        <w:rPr>
          <w:rFonts w:ascii="Times New Roman" w:cs="Times New Roman" w:eastAsia="Times New Roman" w:hAnsi="Times New Roman"/>
          <w:sz w:val="18"/>
          <w:szCs w:val="18"/>
          <w:color w:val="auto"/>
        </w:rPr>
      </w:pPr>
    </w:p>
    <w:p>
      <w:pPr>
        <w:ind w:left="1240" w:right="960" w:hanging="325"/>
        <w:spacing w:after="0" w:line="250"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the Company’s Common Stock that remain available for issuance under the 2016 Plan. The 2006 Plan terminated on March 18, 2016, and there are no shares of Common Stock reserved for future awards under the 2006 Plan.</w:t>
      </w:r>
    </w:p>
    <w:p>
      <w:pPr>
        <w:spacing w:after="0" w:line="2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7" w:right="459"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are a “smaller reporting company” under SEC rules, and as such, we are not required to include a Compensation Discussion and Analysis section in this proxy statement and have elected to comply with the reduced disclosure requirements applicable to smaller reporting companies. We are evaluating the need for revisions to our executive compensation program to ensure our program is competitive with those of the companies with which we compete for executive talent and is appropriate for a public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89"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The tables and discussion below present compensation information for our chief executive officer and our two other most highly compensated officers for the year ended December 31, 2025 (“fiscal year 2025”), all of whom we refer to collectively as our named executive officers. These officers are:</w:t>
      </w:r>
    </w:p>
    <w:tbl>
      <w:tblPr>
        <w:tblLayout w:type="fixed"/>
        <w:tblInd w:w="0" w:type="dxa"/>
        <w:tblCellMar>
          <w:top w:w="0" w:type="dxa"/>
          <w:left w:w="0" w:type="dxa"/>
          <w:bottom w:w="0" w:type="dxa"/>
          <w:right w:w="0" w:type="dxa"/>
        </w:tblCellMar>
      </w:tblPr>
      <w:tr>
        <w:trPr>
          <w:trHeight w:val="225"/>
        </w:trPr>
        <w:tc>
          <w:tcPr>
            <w:tcW w:w="21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476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10"/>
        </w:trPr>
        <w:tc>
          <w:tcPr>
            <w:tcW w:w="214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David A. Frank</w:t>
            </w:r>
          </w:p>
        </w:tc>
        <w:tc>
          <w:tcPr>
            <w:tcW w:w="1260" w:type="dxa"/>
            <w:vAlign w:val="bottom"/>
            <w:shd w:val="clear" w:color="auto" w:fill="DDEBF7"/>
          </w:tcPr>
          <w:p>
            <w:pPr>
              <w:jc w:val="center"/>
              <w:ind w:left="270"/>
              <w:spacing w:after="0"/>
              <w:rPr>
                <w:sz w:val="20"/>
                <w:szCs w:val="20"/>
                <w:color w:val="auto"/>
              </w:rPr>
            </w:pPr>
            <w:r>
              <w:rPr>
                <w:rFonts w:ascii="Times New Roman" w:cs="Times New Roman" w:eastAsia="Times New Roman" w:hAnsi="Times New Roman"/>
                <w:sz w:val="18"/>
                <w:szCs w:val="18"/>
                <w:color w:val="auto"/>
                <w:w w:val="99"/>
              </w:rPr>
              <w:t>65</w:t>
            </w:r>
          </w:p>
        </w:tc>
        <w:tc>
          <w:tcPr>
            <w:tcW w:w="2100" w:type="dxa"/>
            <w:vAlign w:val="bottom"/>
            <w:shd w:val="clear" w:color="auto" w:fill="DDEBF7"/>
          </w:tcPr>
          <w:p>
            <w:pPr>
              <w:jc w:val="right"/>
              <w:ind w:right="1010"/>
              <w:spacing w:after="0"/>
              <w:rPr>
                <w:sz w:val="20"/>
                <w:szCs w:val="20"/>
                <w:color w:val="auto"/>
              </w:rPr>
            </w:pPr>
            <w:r>
              <w:rPr>
                <w:rFonts w:ascii="Times New Roman" w:cs="Times New Roman" w:eastAsia="Times New Roman" w:hAnsi="Times New Roman"/>
                <w:sz w:val="18"/>
                <w:szCs w:val="18"/>
                <w:color w:val="auto"/>
              </w:rPr>
              <w:t>2007</w:t>
            </w:r>
          </w:p>
        </w:tc>
        <w:tc>
          <w:tcPr>
            <w:tcW w:w="4760" w:type="dxa"/>
            <w:vAlign w:val="bottom"/>
            <w:shd w:val="clear" w:color="auto" w:fill="DDEBF7"/>
          </w:tcPr>
          <w:p>
            <w:pPr>
              <w:jc w:val="center"/>
              <w:ind w:right="450"/>
              <w:spacing w:after="0"/>
              <w:rPr>
                <w:sz w:val="20"/>
                <w:szCs w:val="20"/>
                <w:color w:val="auto"/>
              </w:rPr>
            </w:pPr>
            <w:r>
              <w:rPr>
                <w:rFonts w:ascii="Times New Roman" w:cs="Times New Roman" w:eastAsia="Times New Roman" w:hAnsi="Times New Roman"/>
                <w:sz w:val="18"/>
                <w:szCs w:val="18"/>
                <w:color w:val="auto"/>
                <w:w w:val="99"/>
              </w:rPr>
              <w:t>Interim CEO, CFO and Treasurer (1)</w:t>
            </w:r>
          </w:p>
        </w:tc>
      </w:tr>
      <w:tr>
        <w:trPr>
          <w:trHeight w:val="229"/>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Angela M. Olsen</w:t>
            </w:r>
          </w:p>
        </w:tc>
        <w:tc>
          <w:tcPr>
            <w:tcW w:w="1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57</w:t>
            </w:r>
          </w:p>
        </w:tc>
        <w:tc>
          <w:tcPr>
            <w:tcW w:w="210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Former General Counsel (2)</w:t>
            </w:r>
          </w:p>
        </w:tc>
      </w:tr>
    </w:tbl>
    <w:p>
      <w:pPr>
        <w:spacing w:after="0" w:line="76" w:lineRule="exact"/>
        <w:rPr>
          <w:sz w:val="20"/>
          <w:szCs w:val="20"/>
          <w:color w:val="auto"/>
        </w:rPr>
      </w:pPr>
    </w:p>
    <w:p>
      <w:pPr>
        <w:ind w:left="520" w:hanging="25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Mr. Frank was appointed Interim CEO on December 6, 2024.</w:t>
      </w:r>
    </w:p>
    <w:p>
      <w:pPr>
        <w:spacing w:after="0" w:line="27"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Ms. Olsen stepped down as General Counsel on August 22,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The following table provides certain summary information concerning the compensation paid to our named executive officers in the fiscal years ended December 31, 2025 and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6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rPr>
              <w:t>($) (1)</w:t>
            </w:r>
          </w:p>
        </w:tc>
        <w:tc>
          <w:tcPr>
            <w:tcW w:w="1440" w:type="dxa"/>
            <w:vAlign w:val="bottom"/>
          </w:tcPr>
          <w:p>
            <w:pPr>
              <w:jc w:val="center"/>
              <w:ind w:left="31"/>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14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DDEBF7"/>
          </w:tcPr>
          <w:p>
            <w:pPr>
              <w:spacing w:after="0" w:line="150" w:lineRule="exact"/>
              <w:rPr>
                <w:sz w:val="20"/>
                <w:szCs w:val="20"/>
                <w:color w:val="auto"/>
              </w:rPr>
            </w:pPr>
            <w:r>
              <w:rPr>
                <w:rFonts w:ascii="Times New Roman" w:cs="Times New Roman" w:eastAsia="Times New Roman" w:hAnsi="Times New Roman"/>
                <w:sz w:val="17"/>
                <w:szCs w:val="17"/>
                <w:color w:val="auto"/>
              </w:rPr>
              <w:t>D. Frank</w:t>
            </w:r>
          </w:p>
        </w:tc>
        <w:tc>
          <w:tcPr>
            <w:tcW w:w="1040" w:type="dxa"/>
            <w:vAlign w:val="bottom"/>
            <w:shd w:val="clear" w:color="auto" w:fill="DDEBF7"/>
          </w:tcPr>
          <w:p>
            <w:pPr>
              <w:ind w:left="320"/>
              <w:spacing w:after="0" w:line="150" w:lineRule="exact"/>
              <w:rPr>
                <w:sz w:val="20"/>
                <w:szCs w:val="20"/>
                <w:color w:val="auto"/>
              </w:rPr>
            </w:pPr>
            <w:r>
              <w:rPr>
                <w:rFonts w:ascii="Times New Roman" w:cs="Times New Roman" w:eastAsia="Times New Roman" w:hAnsi="Times New Roman"/>
                <w:sz w:val="17"/>
                <w:szCs w:val="17"/>
                <w:color w:val="auto"/>
              </w:rPr>
              <w:t>2025</w:t>
            </w:r>
          </w:p>
        </w:tc>
        <w:tc>
          <w:tcPr>
            <w:tcW w:w="1160" w:type="dxa"/>
            <w:vAlign w:val="bottom"/>
            <w:shd w:val="clear" w:color="auto" w:fill="DDEBF7"/>
          </w:tcPr>
          <w:p>
            <w:pPr>
              <w:jc w:val="center"/>
              <w:ind w:left="31"/>
              <w:spacing w:after="0" w:line="150" w:lineRule="exact"/>
              <w:rPr>
                <w:sz w:val="20"/>
                <w:szCs w:val="20"/>
                <w:color w:val="auto"/>
              </w:rPr>
            </w:pPr>
            <w:r>
              <w:rPr>
                <w:rFonts w:ascii="Times New Roman" w:cs="Times New Roman" w:eastAsia="Times New Roman" w:hAnsi="Times New Roman"/>
                <w:sz w:val="17"/>
                <w:szCs w:val="17"/>
                <w:color w:val="auto"/>
              </w:rPr>
              <w:t>332,500</w:t>
            </w:r>
          </w:p>
        </w:tc>
        <w:tc>
          <w:tcPr>
            <w:tcW w:w="1440" w:type="dxa"/>
            <w:vAlign w:val="bottom"/>
            <w:shd w:val="clear" w:color="auto" w:fill="DDEBF7"/>
          </w:tcPr>
          <w:p>
            <w:pPr>
              <w:jc w:val="center"/>
              <w:ind w:left="51"/>
              <w:spacing w:after="0" w:line="150" w:lineRule="exact"/>
              <w:rPr>
                <w:sz w:val="20"/>
                <w:szCs w:val="20"/>
                <w:color w:val="auto"/>
              </w:rPr>
            </w:pPr>
            <w:r>
              <w:rPr>
                <w:rFonts w:ascii="Times New Roman" w:cs="Times New Roman" w:eastAsia="Times New Roman" w:hAnsi="Times New Roman"/>
                <w:sz w:val="17"/>
                <w:szCs w:val="17"/>
                <w:color w:val="auto"/>
              </w:rPr>
              <w:t>55,792</w:t>
            </w:r>
          </w:p>
        </w:tc>
        <w:tc>
          <w:tcPr>
            <w:tcW w:w="1440" w:type="dxa"/>
            <w:vAlign w:val="bottom"/>
            <w:shd w:val="clear" w:color="auto" w:fill="DDEBF7"/>
          </w:tcPr>
          <w:p>
            <w:pPr>
              <w:jc w:val="center"/>
              <w:ind w:right="71"/>
              <w:spacing w:after="0" w:line="150" w:lineRule="exact"/>
              <w:rPr>
                <w:sz w:val="20"/>
                <w:szCs w:val="20"/>
                <w:color w:val="auto"/>
              </w:rPr>
            </w:pPr>
            <w:r>
              <w:rPr>
                <w:rFonts w:ascii="Times New Roman" w:cs="Times New Roman" w:eastAsia="Times New Roman" w:hAnsi="Times New Roman"/>
                <w:sz w:val="17"/>
                <w:szCs w:val="17"/>
                <w:color w:val="auto"/>
              </w:rPr>
              <w:t>9,975</w:t>
            </w:r>
          </w:p>
        </w:tc>
        <w:tc>
          <w:tcPr>
            <w:tcW w:w="1200" w:type="dxa"/>
            <w:vAlign w:val="bottom"/>
            <w:shd w:val="clear" w:color="auto" w:fill="DDEBF7"/>
          </w:tcPr>
          <w:p>
            <w:pPr>
              <w:jc w:val="center"/>
              <w:ind w:right="51"/>
              <w:spacing w:after="0" w:line="150" w:lineRule="exact"/>
              <w:rPr>
                <w:sz w:val="20"/>
                <w:szCs w:val="20"/>
                <w:color w:val="auto"/>
              </w:rPr>
            </w:pPr>
            <w:r>
              <w:rPr>
                <w:rFonts w:ascii="Times New Roman" w:cs="Times New Roman" w:eastAsia="Times New Roman" w:hAnsi="Times New Roman"/>
                <w:sz w:val="17"/>
                <w:szCs w:val="17"/>
                <w:color w:val="auto"/>
              </w:rPr>
              <w:t>398,267</w:t>
            </w:r>
          </w:p>
        </w:tc>
        <w:tc>
          <w:tcPr>
            <w:tcW w:w="0" w:type="dxa"/>
            <w:vAlign w:val="bottom"/>
          </w:tcPr>
          <w:p>
            <w:pPr>
              <w:spacing w:after="0"/>
              <w:rPr>
                <w:sz w:val="1"/>
                <w:szCs w:val="1"/>
                <w:color w:val="auto"/>
              </w:rPr>
            </w:pPr>
          </w:p>
        </w:tc>
      </w:tr>
      <w:tr>
        <w:trPr>
          <w:trHeight w:val="221"/>
        </w:trPr>
        <w:tc>
          <w:tcPr>
            <w:tcW w:w="262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Interim CEO and CFO</w:t>
            </w:r>
          </w:p>
        </w:tc>
        <w:tc>
          <w:tcPr>
            <w:tcW w:w="1040" w:type="dxa"/>
            <w:vAlign w:val="bottom"/>
            <w:shd w:val="clear" w:color="auto" w:fill="DDEBF7"/>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DDEBF7"/>
          </w:tcPr>
          <w:p>
            <w:pPr>
              <w:jc w:val="center"/>
              <w:ind w:left="31"/>
              <w:spacing w:after="0"/>
              <w:rPr>
                <w:sz w:val="20"/>
                <w:szCs w:val="20"/>
                <w:color w:val="auto"/>
              </w:rPr>
            </w:pPr>
            <w:r>
              <w:rPr>
                <w:rFonts w:ascii="Times New Roman" w:cs="Times New Roman" w:eastAsia="Times New Roman" w:hAnsi="Times New Roman"/>
                <w:sz w:val="18"/>
                <w:szCs w:val="18"/>
                <w:color w:val="auto"/>
              </w:rPr>
              <w:t>325,000</w:t>
            </w:r>
          </w:p>
        </w:tc>
        <w:tc>
          <w:tcPr>
            <w:tcW w:w="1440" w:type="dxa"/>
            <w:vAlign w:val="bottom"/>
            <w:shd w:val="clear" w:color="auto" w:fill="DDEBF7"/>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DDEBF7"/>
          </w:tcPr>
          <w:p>
            <w:pPr>
              <w:jc w:val="center"/>
              <w:ind w:right="71"/>
              <w:spacing w:after="0"/>
              <w:rPr>
                <w:sz w:val="20"/>
                <w:szCs w:val="20"/>
                <w:color w:val="auto"/>
              </w:rPr>
            </w:pPr>
            <w:r>
              <w:rPr>
                <w:rFonts w:ascii="Times New Roman" w:cs="Times New Roman" w:eastAsia="Times New Roman" w:hAnsi="Times New Roman"/>
                <w:sz w:val="18"/>
                <w:szCs w:val="18"/>
                <w:color w:val="auto"/>
                <w:w w:val="98"/>
              </w:rPr>
              <w:t>9,750</w:t>
            </w:r>
          </w:p>
        </w:tc>
        <w:tc>
          <w:tcPr>
            <w:tcW w:w="1200" w:type="dxa"/>
            <w:vAlign w:val="bottom"/>
            <w:shd w:val="clear" w:color="auto" w:fill="DDEBF7"/>
          </w:tcPr>
          <w:p>
            <w:pPr>
              <w:jc w:val="center"/>
              <w:ind w:right="51"/>
              <w:spacing w:after="0"/>
              <w:rPr>
                <w:sz w:val="20"/>
                <w:szCs w:val="20"/>
                <w:color w:val="auto"/>
              </w:rPr>
            </w:pPr>
            <w:r>
              <w:rPr>
                <w:rFonts w:ascii="Times New Roman" w:cs="Times New Roman" w:eastAsia="Times New Roman" w:hAnsi="Times New Roman"/>
                <w:sz w:val="18"/>
                <w:szCs w:val="18"/>
                <w:color w:val="auto"/>
                <w:w w:val="99"/>
              </w:rPr>
              <w:t>334,750</w:t>
            </w:r>
          </w:p>
        </w:tc>
        <w:tc>
          <w:tcPr>
            <w:tcW w:w="0" w:type="dxa"/>
            <w:vAlign w:val="bottom"/>
          </w:tcPr>
          <w:p>
            <w:pPr>
              <w:spacing w:after="0"/>
              <w:rPr>
                <w:sz w:val="1"/>
                <w:szCs w:val="1"/>
                <w:color w:val="auto"/>
              </w:rPr>
            </w:pPr>
          </w:p>
        </w:tc>
      </w:tr>
      <w:tr>
        <w:trPr>
          <w:trHeight w:val="157"/>
        </w:trPr>
        <w:tc>
          <w:tcPr>
            <w:tcW w:w="26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 Olsen</w:t>
            </w:r>
          </w:p>
        </w:tc>
        <w:tc>
          <w:tcPr>
            <w:tcW w:w="1040" w:type="dxa"/>
            <w:vAlign w:val="bottom"/>
          </w:tcPr>
          <w:p>
            <w:pPr>
              <w:ind w:left="320"/>
              <w:spacing w:after="0" w:line="157" w:lineRule="exact"/>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jc w:val="center"/>
              <w:ind w:left="31"/>
              <w:spacing w:after="0" w:line="157" w:lineRule="exact"/>
              <w:rPr>
                <w:sz w:val="20"/>
                <w:szCs w:val="20"/>
                <w:color w:val="auto"/>
              </w:rPr>
            </w:pPr>
            <w:r>
              <w:rPr>
                <w:rFonts w:ascii="Times New Roman" w:cs="Times New Roman" w:eastAsia="Times New Roman" w:hAnsi="Times New Roman"/>
                <w:sz w:val="18"/>
                <w:szCs w:val="18"/>
                <w:color w:val="auto"/>
              </w:rPr>
              <w:t>245,174</w:t>
            </w:r>
          </w:p>
        </w:tc>
        <w:tc>
          <w:tcPr>
            <w:tcW w:w="1440" w:type="dxa"/>
            <w:vAlign w:val="bottom"/>
          </w:tcPr>
          <w:p>
            <w:pPr>
              <w:jc w:val="center"/>
              <w:ind w:left="51"/>
              <w:spacing w:after="0" w:line="157" w:lineRule="exact"/>
              <w:rPr>
                <w:sz w:val="20"/>
                <w:szCs w:val="20"/>
                <w:color w:val="auto"/>
              </w:rPr>
            </w:pPr>
            <w:r>
              <w:rPr>
                <w:rFonts w:ascii="Times New Roman" w:cs="Times New Roman" w:eastAsia="Times New Roman" w:hAnsi="Times New Roman"/>
                <w:sz w:val="18"/>
                <w:szCs w:val="18"/>
                <w:color w:val="auto"/>
              </w:rPr>
              <w:t>54,500</w:t>
            </w:r>
          </w:p>
        </w:tc>
        <w:tc>
          <w:tcPr>
            <w:tcW w:w="1440" w:type="dxa"/>
            <w:vAlign w:val="bottom"/>
          </w:tcPr>
          <w:p>
            <w:pPr>
              <w:jc w:val="center"/>
              <w:ind w:right="71"/>
              <w:spacing w:after="0" w:line="157" w:lineRule="exact"/>
              <w:rPr>
                <w:sz w:val="20"/>
                <w:szCs w:val="20"/>
                <w:color w:val="auto"/>
              </w:rPr>
            </w:pPr>
            <w:r>
              <w:rPr>
                <w:rFonts w:ascii="Times New Roman" w:cs="Times New Roman" w:eastAsia="Times New Roman" w:hAnsi="Times New Roman"/>
                <w:sz w:val="18"/>
                <w:szCs w:val="18"/>
                <w:color w:val="auto"/>
                <w:w w:val="98"/>
              </w:rPr>
              <w:t>6,726</w:t>
            </w:r>
          </w:p>
        </w:tc>
        <w:tc>
          <w:tcPr>
            <w:tcW w:w="1200" w:type="dxa"/>
            <w:vAlign w:val="bottom"/>
          </w:tcPr>
          <w:p>
            <w:pPr>
              <w:jc w:val="center"/>
              <w:ind w:right="51"/>
              <w:spacing w:after="0" w:line="157" w:lineRule="exact"/>
              <w:rPr>
                <w:sz w:val="20"/>
                <w:szCs w:val="20"/>
                <w:color w:val="auto"/>
              </w:rPr>
            </w:pPr>
            <w:r>
              <w:rPr>
                <w:rFonts w:ascii="Times New Roman" w:cs="Times New Roman" w:eastAsia="Times New Roman" w:hAnsi="Times New Roman"/>
                <w:sz w:val="18"/>
                <w:szCs w:val="18"/>
                <w:color w:val="auto"/>
                <w:w w:val="99"/>
              </w:rPr>
              <w:t>306,400</w:t>
            </w:r>
          </w:p>
        </w:tc>
        <w:tc>
          <w:tcPr>
            <w:tcW w:w="0" w:type="dxa"/>
            <w:vAlign w:val="bottom"/>
          </w:tcPr>
          <w:p>
            <w:pPr>
              <w:spacing w:after="0"/>
              <w:rPr>
                <w:sz w:val="1"/>
                <w:szCs w:val="1"/>
                <w:color w:val="auto"/>
              </w:rPr>
            </w:pPr>
          </w:p>
        </w:tc>
      </w:tr>
      <w:tr>
        <w:trPr>
          <w:trHeight w:val="221"/>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Former General Counsel</w:t>
            </w: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317,475</w:t>
            </w:r>
          </w:p>
        </w:tc>
        <w:tc>
          <w:tcPr>
            <w:tcW w:w="144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9,524</w:t>
            </w:r>
          </w:p>
        </w:tc>
        <w:tc>
          <w:tcPr>
            <w:tcW w:w="12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326,999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25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salaries before any employee contributions under our 401(k) plan.</w:t>
      </w:r>
    </w:p>
    <w:p>
      <w:pPr>
        <w:spacing w:after="0" w:line="27" w:lineRule="exact"/>
        <w:rPr>
          <w:rFonts w:ascii="Times New Roman" w:cs="Times New Roman" w:eastAsia="Times New Roman" w:hAnsi="Times New Roman"/>
          <w:sz w:val="14"/>
          <w:szCs w:val="14"/>
          <w:color w:val="auto"/>
        </w:rPr>
      </w:pPr>
    </w:p>
    <w:p>
      <w:pPr>
        <w:ind w:left="520" w:hanging="253"/>
        <w:spacing w:after="0" w:line="236"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Amounts represent performance-based annual cash bonuses determined by our Board for the named executive officers.</w:t>
      </w:r>
    </w:p>
    <w:p>
      <w:pPr>
        <w:ind w:left="520" w:hanging="25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Amounts in this column reflect 401(k) matching contributions.</w:t>
      </w:r>
    </w:p>
    <w:p>
      <w:pPr>
        <w:spacing w:after="0" w:line="7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As of December 31, 2025, the base salary of Mr. Frank was $334,750. As of December 31, 2024, the base salaries of Mr. Frank and Ms. Olsen were $325,000, and $317,475, respectively. Base salaries are used to recognize the experience, skills, knowledge, and responsibilities required of all of our employees, including our named executive officers. Certain of our named executive officers are currently party to an employment agreement that provides for the continuation of certain compensation upon termination of employment. See “-Employment Agreements.”</w:t>
      </w:r>
    </w:p>
    <w:p>
      <w:pPr>
        <w:spacing w:after="0" w:line="14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For 2025, each of our named executive officers was eligible to earn an annual cash bonus to compensate them for attaining short-term Company and individual goals as approved by our Board. For 2025, bonuses were determined based on attaining strategic and financial Company goals. The 2025 target bonuses for each of Mr. Frank and Ms. Olsen were 25% of his or her annual base salary. Each individual’s respective target bonus was set by the Board. Our Board makes the final determination of the eligibility requirements and the amounts of such bonus awards. For 2025, the Board determined that both Mr. Frank and Ms. Olsen achieved two-thirds of their respective targeted bonus amounts. For 2024, the Board determined that neither the Company nor the individual bonus goals were achieved, and therefore, no annual bonus was earned by either Mr. Frank or Ms. Olsen with respect to the 2024 fiscal year.</w:t>
      </w:r>
    </w:p>
    <w:p>
      <w:pPr>
        <w:spacing w:after="0" w:line="15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ownership interests of our executives and our stockholders. In addition, we believe that equity grants with a time-based vesting feature promote executive retention because this feature incentivizes our executive officers to remain in our employment during the vesting period. Compensation decisions for the officers other than the CEO are made by the CHCC in consultation with the CEO.</w:t>
      </w:r>
    </w:p>
    <w:p>
      <w:pPr>
        <w:spacing w:after="0" w:line="1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following table provides certain summary information concerning outstanding equity awards held by our named executive officers as of December 31, 2025.</w:t>
      </w: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31"/>
              <w:spacing w:after="0" w:line="203" w:lineRule="exact"/>
              <w:rPr>
                <w:sz w:val="20"/>
                <w:szCs w:val="20"/>
                <w:color w:val="auto"/>
              </w:rPr>
            </w:pPr>
            <w:r>
              <w:rPr>
                <w:rFonts w:ascii="Times New Roman" w:cs="Times New Roman" w:eastAsia="Times New Roman" w:hAnsi="Times New Roman"/>
                <w:sz w:val="18"/>
                <w:szCs w:val="18"/>
                <w:b w:val="1"/>
                <w:bCs w:val="1"/>
                <w:color w:val="auto"/>
              </w:rPr>
              <w:t>Option Awards (1)</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60" w:type="dxa"/>
            <w:vAlign w:val="bottom"/>
            <w:gridSpan w:val="3"/>
          </w:tcPr>
          <w:p>
            <w:pPr>
              <w:jc w:val="center"/>
              <w:ind w:right="20"/>
              <w:spacing w:after="0" w:line="147" w:lineRule="exact"/>
              <w:rPr>
                <w:sz w:val="20"/>
                <w:szCs w:val="20"/>
                <w:color w:val="auto"/>
              </w:rPr>
            </w:pPr>
            <w:r>
              <w:rPr>
                <w:rFonts w:ascii="Times New Roman" w:cs="Times New Roman" w:eastAsia="Times New Roman" w:hAnsi="Times New Roman"/>
                <w:sz w:val="17"/>
                <w:szCs w:val="17"/>
                <w:b w:val="1"/>
                <w:bCs w:val="1"/>
                <w:color w:val="auto"/>
              </w:rPr>
              <w:t>Number of securities</w:t>
            </w:r>
          </w:p>
        </w:tc>
        <w:tc>
          <w:tcPr>
            <w:tcW w:w="240" w:type="dxa"/>
            <w:vAlign w:val="bottom"/>
          </w:tcPr>
          <w:p>
            <w:pPr>
              <w:spacing w:after="0"/>
              <w:rPr>
                <w:sz w:val="12"/>
                <w:szCs w:val="12"/>
                <w:color w:val="auto"/>
              </w:rPr>
            </w:pPr>
          </w:p>
        </w:tc>
        <w:tc>
          <w:tcPr>
            <w:tcW w:w="110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Option</w:t>
            </w: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underlying unexercised options</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Name and Position</w:t>
            </w:r>
          </w:p>
        </w:tc>
        <w:tc>
          <w:tcPr>
            <w:tcW w:w="1280" w:type="dxa"/>
            <w:vAlign w:val="bottom"/>
            <w:tcBorders>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71"/>
              <w:spacing w:after="0" w:line="182" w:lineRule="exact"/>
              <w:rPr>
                <w:sz w:val="20"/>
                <w:szCs w:val="20"/>
                <w:color w:val="auto"/>
              </w:rPr>
            </w:pPr>
            <w:r>
              <w:rPr>
                <w:rFonts w:ascii="Times New Roman" w:cs="Times New Roman" w:eastAsia="Times New Roman" w:hAnsi="Times New Roman"/>
                <w:sz w:val="18"/>
                <w:szCs w:val="18"/>
                <w:b w:val="1"/>
                <w:bCs w:val="1"/>
                <w:color w:val="auto"/>
              </w:rPr>
              <w:t>Exercisable</w:t>
            </w:r>
          </w:p>
        </w:tc>
        <w:tc>
          <w:tcPr>
            <w:tcW w:w="1280" w:type="dxa"/>
            <w:vAlign w:val="bottom"/>
            <w:tcBorders>
              <w:top w:val="single" w:sz="8" w:color="auto"/>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Unexercisable</w:t>
            </w: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1"/>
              <w:spacing w:after="0" w:line="18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51"/>
        </w:trPr>
        <w:tc>
          <w:tcPr>
            <w:tcW w:w="2080" w:type="dxa"/>
            <w:vAlign w:val="bottom"/>
            <w:shd w:val="clear" w:color="auto" w:fill="DDEBF7"/>
          </w:tcPr>
          <w:p>
            <w:pPr>
              <w:ind w:left="180"/>
              <w:spacing w:after="0" w:line="150" w:lineRule="exact"/>
              <w:rPr>
                <w:sz w:val="20"/>
                <w:szCs w:val="20"/>
                <w:color w:val="auto"/>
              </w:rPr>
            </w:pPr>
            <w:r>
              <w:rPr>
                <w:rFonts w:ascii="Times New Roman" w:cs="Times New Roman" w:eastAsia="Times New Roman" w:hAnsi="Times New Roman"/>
                <w:sz w:val="17"/>
                <w:szCs w:val="17"/>
                <w:color w:val="auto"/>
              </w:rPr>
              <w:t>D. Frank</w:t>
            </w:r>
          </w:p>
        </w:tc>
        <w:tc>
          <w:tcPr>
            <w:tcW w:w="1280" w:type="dxa"/>
            <w:vAlign w:val="bottom"/>
            <w:shd w:val="clear" w:color="auto" w:fill="DDEBF7"/>
          </w:tcPr>
          <w:p>
            <w:pPr>
              <w:ind w:left="260"/>
              <w:spacing w:after="0" w:line="150" w:lineRule="exact"/>
              <w:rPr>
                <w:sz w:val="20"/>
                <w:szCs w:val="20"/>
                <w:color w:val="auto"/>
              </w:rPr>
            </w:pPr>
            <w:r>
              <w:rPr>
                <w:rFonts w:ascii="Times New Roman" w:cs="Times New Roman" w:eastAsia="Times New Roman" w:hAnsi="Times New Roman"/>
                <w:sz w:val="17"/>
                <w:szCs w:val="17"/>
                <w:color w:val="auto"/>
              </w:rPr>
              <w:t>21-Apr-2017</w:t>
            </w:r>
          </w:p>
        </w:tc>
        <w:tc>
          <w:tcPr>
            <w:tcW w:w="1340" w:type="dxa"/>
            <w:vAlign w:val="bottom"/>
            <w:shd w:val="clear" w:color="auto" w:fill="DDEBF7"/>
          </w:tcPr>
          <w:p>
            <w:pPr>
              <w:jc w:val="right"/>
              <w:spacing w:after="0" w:line="150" w:lineRule="exact"/>
              <w:rPr>
                <w:sz w:val="20"/>
                <w:szCs w:val="20"/>
                <w:color w:val="auto"/>
              </w:rPr>
            </w:pPr>
            <w:r>
              <w:rPr>
                <w:rFonts w:ascii="Times New Roman" w:cs="Times New Roman" w:eastAsia="Times New Roman" w:hAnsi="Times New Roman"/>
                <w:sz w:val="17"/>
                <w:szCs w:val="17"/>
                <w:color w:val="auto"/>
              </w:rPr>
              <w:t>500</w:t>
            </w:r>
          </w:p>
        </w:tc>
        <w:tc>
          <w:tcPr>
            <w:tcW w:w="1280" w:type="dxa"/>
            <w:vAlign w:val="bottom"/>
            <w:shd w:val="clear" w:color="auto" w:fill="DDEBF7"/>
          </w:tcPr>
          <w:p>
            <w:pPr>
              <w:spacing w:after="0"/>
              <w:rPr>
                <w:sz w:val="13"/>
                <w:szCs w:val="13"/>
                <w:color w:val="auto"/>
              </w:rPr>
            </w:pPr>
          </w:p>
        </w:tc>
        <w:tc>
          <w:tcPr>
            <w:tcW w:w="40" w:type="dxa"/>
            <w:vAlign w:val="bottom"/>
            <w:shd w:val="clear" w:color="auto" w:fill="DDEBF7"/>
          </w:tcPr>
          <w:p>
            <w:pPr>
              <w:spacing w:after="0"/>
              <w:rPr>
                <w:sz w:val="13"/>
                <w:szCs w:val="13"/>
                <w:color w:val="auto"/>
              </w:rPr>
            </w:pPr>
          </w:p>
        </w:tc>
        <w:tc>
          <w:tcPr>
            <w:tcW w:w="240" w:type="dxa"/>
            <w:vAlign w:val="bottom"/>
            <w:shd w:val="clear" w:color="auto" w:fill="DDEBF7"/>
          </w:tcPr>
          <w:p>
            <w:pPr>
              <w:jc w:val="right"/>
              <w:ind w:right="31"/>
              <w:spacing w:after="0" w:line="150"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DDEBF7"/>
          </w:tcPr>
          <w:p>
            <w:pPr>
              <w:jc w:val="right"/>
              <w:spacing w:after="0" w:line="150" w:lineRule="exact"/>
              <w:rPr>
                <w:sz w:val="20"/>
                <w:szCs w:val="20"/>
                <w:color w:val="auto"/>
              </w:rPr>
            </w:pPr>
            <w:r>
              <w:rPr>
                <w:rFonts w:ascii="Times New Roman" w:cs="Times New Roman" w:eastAsia="Times New Roman" w:hAnsi="Times New Roman"/>
                <w:sz w:val="17"/>
                <w:szCs w:val="17"/>
                <w:color w:val="auto"/>
              </w:rPr>
              <w:t>284.00</w:t>
            </w:r>
          </w:p>
        </w:tc>
        <w:tc>
          <w:tcPr>
            <w:tcW w:w="1320" w:type="dxa"/>
            <w:vAlign w:val="bottom"/>
            <w:shd w:val="clear" w:color="auto" w:fill="DDEBF7"/>
          </w:tcPr>
          <w:p>
            <w:pPr>
              <w:ind w:left="280"/>
              <w:spacing w:after="0" w:line="150" w:lineRule="exact"/>
              <w:rPr>
                <w:sz w:val="20"/>
                <w:szCs w:val="20"/>
                <w:color w:val="auto"/>
              </w:rPr>
            </w:pPr>
            <w:r>
              <w:rPr>
                <w:rFonts w:ascii="Times New Roman" w:cs="Times New Roman" w:eastAsia="Times New Roman" w:hAnsi="Times New Roman"/>
                <w:sz w:val="17"/>
                <w:szCs w:val="17"/>
                <w:color w:val="auto"/>
              </w:rPr>
              <w:t>21-Apr-2027</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Interim CEO and CFO</w:t>
            </w: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27-Feb-2018</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758</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320" w:type="dxa"/>
            <w:vAlign w:val="bottom"/>
            <w:shd w:val="clear" w:color="auto" w:fill="DDEBF7"/>
          </w:tcPr>
          <w:p>
            <w:pPr>
              <w:ind w:left="280"/>
              <w:spacing w:after="0" w:line="189" w:lineRule="exact"/>
              <w:rPr>
                <w:sz w:val="20"/>
                <w:szCs w:val="20"/>
                <w:color w:val="auto"/>
              </w:rPr>
            </w:pPr>
            <w:r>
              <w:rPr>
                <w:rFonts w:ascii="Times New Roman" w:cs="Times New Roman" w:eastAsia="Times New Roman" w:hAnsi="Times New Roman"/>
                <w:sz w:val="18"/>
                <w:szCs w:val="18"/>
                <w:color w:val="auto"/>
              </w:rPr>
              <w:t>27-Feb-2028</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30-Apr-2019</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44.40</w:t>
            </w:r>
          </w:p>
        </w:tc>
        <w:tc>
          <w:tcPr>
            <w:tcW w:w="1320" w:type="dxa"/>
            <w:vAlign w:val="bottom"/>
            <w:shd w:val="clear" w:color="auto" w:fill="DDEBF7"/>
          </w:tcPr>
          <w:p>
            <w:pPr>
              <w:ind w:left="280"/>
              <w:spacing w:after="0" w:line="189" w:lineRule="exact"/>
              <w:rPr>
                <w:sz w:val="20"/>
                <w:szCs w:val="20"/>
                <w:color w:val="auto"/>
              </w:rPr>
            </w:pPr>
            <w:r>
              <w:rPr>
                <w:rFonts w:ascii="Times New Roman" w:cs="Times New Roman" w:eastAsia="Times New Roman" w:hAnsi="Times New Roman"/>
                <w:sz w:val="18"/>
                <w:szCs w:val="18"/>
                <w:color w:val="auto"/>
              </w:rPr>
              <w:t>29-Apr-2029</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12-Mar-2020</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642</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37.60</w:t>
            </w:r>
          </w:p>
        </w:tc>
        <w:tc>
          <w:tcPr>
            <w:tcW w:w="132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12-Mar-2030</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10-Mar-2021</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259</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134.40</w:t>
            </w:r>
          </w:p>
        </w:tc>
        <w:tc>
          <w:tcPr>
            <w:tcW w:w="132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10-Mar-2031</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14-Mar-2022</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1,179</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30.40</w:t>
            </w:r>
          </w:p>
        </w:tc>
        <w:tc>
          <w:tcPr>
            <w:tcW w:w="132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14-Mar-2032</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auto"/>
            </w:tcBorders>
            <w:shd w:val="clear" w:color="auto" w:fill="DDEBF7"/>
          </w:tcPr>
          <w:p>
            <w:pPr>
              <w:spacing w:after="0"/>
              <w:rPr>
                <w:sz w:val="19"/>
                <w:szCs w:val="19"/>
                <w:color w:val="auto"/>
              </w:rPr>
            </w:pPr>
          </w:p>
        </w:tc>
        <w:tc>
          <w:tcPr>
            <w:tcW w:w="1280" w:type="dxa"/>
            <w:vAlign w:val="bottom"/>
            <w:tcBorders>
              <w:bottom w:val="single" w:sz="8" w:color="auto"/>
            </w:tcBorders>
            <w:shd w:val="clear" w:color="auto" w:fill="DDEBF7"/>
          </w:tcPr>
          <w:p>
            <w:pPr>
              <w:ind w:left="280"/>
              <w:spacing w:after="0"/>
              <w:rPr>
                <w:sz w:val="20"/>
                <w:szCs w:val="20"/>
                <w:color w:val="auto"/>
              </w:rPr>
            </w:pPr>
            <w:r>
              <w:rPr>
                <w:rFonts w:ascii="Times New Roman" w:cs="Times New Roman" w:eastAsia="Times New Roman" w:hAnsi="Times New Roman"/>
                <w:sz w:val="18"/>
                <w:szCs w:val="18"/>
                <w:color w:val="auto"/>
              </w:rPr>
              <w:t>14-Jun-2023</w:t>
            </w:r>
          </w:p>
        </w:tc>
        <w:tc>
          <w:tcPr>
            <w:tcW w:w="1340" w:type="dxa"/>
            <w:vAlign w:val="bottom"/>
            <w:tcBorders>
              <w:bottom w:val="single" w:sz="8" w:color="auto"/>
            </w:tcBorders>
            <w:shd w:val="clear" w:color="auto" w:fill="DDEBF7"/>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80" w:type="dxa"/>
            <w:vAlign w:val="bottom"/>
            <w:tcBorders>
              <w:bottom w:val="single" w:sz="8" w:color="auto"/>
            </w:tcBorders>
            <w:shd w:val="clear" w:color="auto" w:fill="DDEBF7"/>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Borders>
              <w:bottom w:val="single" w:sz="8" w:color="auto"/>
            </w:tcBorders>
            <w:shd w:val="clear" w:color="auto" w:fill="DDEBF7"/>
          </w:tcPr>
          <w:p>
            <w:pPr>
              <w:spacing w:after="0"/>
              <w:rPr>
                <w:sz w:val="19"/>
                <w:szCs w:val="19"/>
                <w:color w:val="auto"/>
              </w:rPr>
            </w:pPr>
          </w:p>
        </w:tc>
        <w:tc>
          <w:tcPr>
            <w:tcW w:w="240" w:type="dxa"/>
            <w:vAlign w:val="bottom"/>
            <w:tcBorders>
              <w:bottom w:val="single" w:sz="8" w:color="auto"/>
            </w:tcBorders>
            <w:shd w:val="clear" w:color="auto" w:fill="DDEBF7"/>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DEBF7"/>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320" w:type="dxa"/>
            <w:vAlign w:val="bottom"/>
            <w:tcBorders>
              <w:bottom w:val="single" w:sz="8" w:color="auto"/>
            </w:tcBorders>
            <w:shd w:val="clear" w:color="auto" w:fill="DDEBF7"/>
          </w:tcPr>
          <w:p>
            <w:pPr>
              <w:ind w:left="280"/>
              <w:spacing w:after="0"/>
              <w:rPr>
                <w:sz w:val="20"/>
                <w:szCs w:val="20"/>
                <w:color w:val="auto"/>
              </w:rPr>
            </w:pPr>
            <w:r>
              <w:rPr>
                <w:rFonts w:ascii="Times New Roman" w:cs="Times New Roman" w:eastAsia="Times New Roman" w:hAnsi="Times New Roman"/>
                <w:sz w:val="18"/>
                <w:szCs w:val="18"/>
                <w:color w:val="auto"/>
              </w:rPr>
              <w:t>14-Jun-2033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40" w:right="300" w:hanging="334"/>
        <w:spacing w:after="0" w:line="282"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Option awards granted in 2018 and 2019 vested daily over a one-year period. Option awards granted in 2023 vest daily over a period ending on March 9, 2026. All other option awards vest daily over a three-year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information about the relationship between executive compensation actually paid to our principal executive officer (“PEO”) and the other named executive officers (“NEOs”), as calculated in accordance with Item 402(v) of Regulation S-K, and certain financial performance measures.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1080" w:type="dxa"/>
            <w:vAlign w:val="bottom"/>
            <w:tcBorders>
              <w:top w:val="single" w:sz="8" w:color="auto"/>
              <w:left w:val="single" w:sz="8" w:color="auto"/>
              <w:right w:val="single" w:sz="8" w:color="auto"/>
            </w:tcBorders>
          </w:tcPr>
          <w:p>
            <w:pPr>
              <w:jc w:val="right"/>
              <w:ind w:right="294"/>
              <w:spacing w:after="0" w:line="160" w:lineRule="exact"/>
              <w:rPr>
                <w:sz w:val="20"/>
                <w:szCs w:val="20"/>
                <w:color w:val="auto"/>
              </w:rPr>
            </w:pPr>
            <w:r>
              <w:rPr>
                <w:rFonts w:ascii="Times New Roman" w:cs="Times New Roman" w:eastAsia="Times New Roman" w:hAnsi="Times New Roman"/>
                <w:sz w:val="16"/>
                <w:szCs w:val="16"/>
                <w:b w:val="1"/>
                <w:bCs w:val="1"/>
                <w:color w:val="auto"/>
              </w:rPr>
              <w:t>Year</w:t>
            </w: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right w:val="single" w:sz="8" w:color="auto"/>
            </w:tcBorders>
          </w:tcPr>
          <w:p>
            <w:pPr>
              <w:jc w:val="center"/>
              <w:ind w:right="256"/>
              <w:spacing w:after="0" w:line="160" w:lineRule="exact"/>
              <w:rPr>
                <w:sz w:val="20"/>
                <w:szCs w:val="20"/>
                <w:color w:val="auto"/>
              </w:rPr>
            </w:pPr>
            <w:r>
              <w:rPr>
                <w:rFonts w:ascii="Times New Roman" w:cs="Times New Roman" w:eastAsia="Times New Roman" w:hAnsi="Times New Roman"/>
                <w:sz w:val="16"/>
                <w:szCs w:val="16"/>
                <w:b w:val="1"/>
                <w:bCs w:val="1"/>
                <w:color w:val="auto"/>
              </w:rPr>
              <w:t>Summary</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jc w:val="center"/>
              <w:ind w:right="255"/>
              <w:spacing w:after="0" w:line="16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720" w:type="dxa"/>
            <w:vAlign w:val="bottom"/>
            <w:tcBorders>
              <w:top w:val="single" w:sz="8" w:color="auto"/>
              <w:right w:val="single" w:sz="8" w:color="auto"/>
            </w:tcBorders>
            <w:gridSpan w:val="2"/>
          </w:tcPr>
          <w:p>
            <w:pPr>
              <w:ind w:left="200"/>
              <w:spacing w:after="0" w:line="160" w:lineRule="exact"/>
              <w:rPr>
                <w:sz w:val="20"/>
                <w:szCs w:val="20"/>
                <w:color w:val="auto"/>
              </w:rPr>
            </w:pPr>
            <w:r>
              <w:rPr>
                <w:rFonts w:ascii="Times New Roman" w:cs="Times New Roman" w:eastAsia="Times New Roman" w:hAnsi="Times New Roman"/>
                <w:sz w:val="16"/>
                <w:szCs w:val="16"/>
                <w:b w:val="1"/>
                <w:bCs w:val="1"/>
                <w:color w:val="auto"/>
              </w:rPr>
              <w:t>Average Summary</w:t>
            </w: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right w:val="single" w:sz="8" w:color="auto"/>
            </w:tcBorders>
          </w:tcPr>
          <w:p>
            <w:pPr>
              <w:jc w:val="center"/>
              <w:ind w:right="216"/>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00" w:type="dxa"/>
            <w:vAlign w:val="bottom"/>
            <w:tcBorders>
              <w:top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Value of</w:t>
            </w:r>
          </w:p>
        </w:tc>
        <w:tc>
          <w:tcPr>
            <w:tcW w:w="44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jc w:val="center"/>
              <w:ind w:right="395"/>
              <w:spacing w:after="0" w:line="160"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Borders>
              <w:right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20" w:type="dxa"/>
            <w:vAlign w:val="bottom"/>
          </w:tcPr>
          <w:p>
            <w:pPr>
              <w:spacing w:after="0"/>
              <w:rPr>
                <w:sz w:val="16"/>
                <w:szCs w:val="16"/>
                <w:color w:val="auto"/>
              </w:rPr>
            </w:pPr>
          </w:p>
        </w:tc>
        <w:tc>
          <w:tcPr>
            <w:tcW w:w="1420" w:type="dxa"/>
            <w:vAlign w:val="bottom"/>
            <w:tcBorders>
              <w:right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280" w:type="dxa"/>
            <w:vAlign w:val="bottom"/>
          </w:tcPr>
          <w:p>
            <w:pPr>
              <w:spacing w:after="0"/>
              <w:rPr>
                <w:sz w:val="16"/>
                <w:szCs w:val="16"/>
                <w:color w:val="auto"/>
              </w:rPr>
            </w:pPr>
          </w:p>
        </w:tc>
        <w:tc>
          <w:tcPr>
            <w:tcW w:w="1440" w:type="dxa"/>
            <w:vAlign w:val="bottom"/>
            <w:tcBorders>
              <w:right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80" w:type="dxa"/>
            <w:vAlign w:val="bottom"/>
          </w:tcPr>
          <w:p>
            <w:pPr>
              <w:spacing w:after="0"/>
              <w:rPr>
                <w:sz w:val="16"/>
                <w:szCs w:val="16"/>
                <w:color w:val="auto"/>
              </w:rPr>
            </w:pPr>
          </w:p>
        </w:tc>
        <w:tc>
          <w:tcPr>
            <w:tcW w:w="1460" w:type="dxa"/>
            <w:vAlign w:val="bottom"/>
            <w:tcBorders>
              <w:right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 Fixed $100</w:t>
            </w:r>
          </w:p>
        </w:tc>
        <w:tc>
          <w:tcPr>
            <w:tcW w:w="440" w:type="dxa"/>
            <w:vAlign w:val="bottom"/>
          </w:tcPr>
          <w:p>
            <w:pPr>
              <w:spacing w:after="0"/>
              <w:rPr>
                <w:sz w:val="16"/>
                <w:szCs w:val="16"/>
                <w:color w:val="auto"/>
              </w:rPr>
            </w:pPr>
          </w:p>
        </w:tc>
        <w:tc>
          <w:tcPr>
            <w:tcW w:w="1320" w:type="dxa"/>
            <w:vAlign w:val="bottom"/>
            <w:tcBorders>
              <w:right w:val="single" w:sz="8" w:color="auto"/>
            </w:tcBorders>
          </w:tcPr>
          <w:p>
            <w:pPr>
              <w:jc w:val="center"/>
              <w:ind w:right="395"/>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176"/>
        </w:trPr>
        <w:tc>
          <w:tcPr>
            <w:tcW w:w="108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Borders>
              <w:right w:val="single" w:sz="8" w:color="auto"/>
            </w:tcBorders>
            <w:vMerge w:val="restart"/>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320" w:type="dxa"/>
            <w:vAlign w:val="bottom"/>
          </w:tcPr>
          <w:p>
            <w:pPr>
              <w:spacing w:after="0"/>
              <w:rPr>
                <w:sz w:val="15"/>
                <w:szCs w:val="15"/>
                <w:color w:val="auto"/>
              </w:rPr>
            </w:pPr>
          </w:p>
        </w:tc>
        <w:tc>
          <w:tcPr>
            <w:tcW w:w="1420" w:type="dxa"/>
            <w:vAlign w:val="bottom"/>
            <w:tcBorders>
              <w:right w:val="single" w:sz="8" w:color="auto"/>
            </w:tcBorders>
            <w:vMerge w:val="restart"/>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to PEO</w:t>
            </w:r>
          </w:p>
        </w:tc>
        <w:tc>
          <w:tcPr>
            <w:tcW w:w="280" w:type="dxa"/>
            <w:vAlign w:val="bottom"/>
          </w:tcPr>
          <w:p>
            <w:pPr>
              <w:spacing w:after="0"/>
              <w:rPr>
                <w:sz w:val="15"/>
                <w:szCs w:val="15"/>
                <w:color w:val="auto"/>
              </w:rPr>
            </w:pPr>
          </w:p>
        </w:tc>
        <w:tc>
          <w:tcPr>
            <w:tcW w:w="1440" w:type="dxa"/>
            <w:vAlign w:val="bottom"/>
            <w:tcBorders>
              <w:right w:val="single" w:sz="8" w:color="auto"/>
            </w:tcBorders>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280" w:type="dxa"/>
            <w:vAlign w:val="bottom"/>
          </w:tcPr>
          <w:p>
            <w:pPr>
              <w:spacing w:after="0"/>
              <w:rPr>
                <w:sz w:val="15"/>
                <w:szCs w:val="15"/>
                <w:color w:val="auto"/>
              </w:rPr>
            </w:pPr>
          </w:p>
        </w:tc>
        <w:tc>
          <w:tcPr>
            <w:tcW w:w="1460" w:type="dxa"/>
            <w:vAlign w:val="bottom"/>
            <w:tcBorders>
              <w:right w:val="single" w:sz="8" w:color="auto"/>
            </w:tcBorders>
            <w:vMerge w:val="restart"/>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15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Investment Based</w:t>
            </w:r>
          </w:p>
        </w:tc>
        <w:tc>
          <w:tcPr>
            <w:tcW w:w="44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on</w:t>
            </w:r>
          </w:p>
        </w:tc>
        <w:tc>
          <w:tcPr>
            <w:tcW w:w="44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auto"/>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44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Borders>
              <w:right w:val="single" w:sz="8" w:color="auto"/>
            </w:tcBorders>
          </w:tcPr>
          <w:p>
            <w:pPr>
              <w:jc w:val="center"/>
              <w:ind w:right="256"/>
              <w:spacing w:after="0" w:line="169" w:lineRule="exact"/>
              <w:rPr>
                <w:sz w:val="20"/>
                <w:szCs w:val="20"/>
                <w:color w:val="auto"/>
              </w:rPr>
            </w:pPr>
            <w:r>
              <w:rPr>
                <w:rFonts w:ascii="Times New Roman" w:cs="Times New Roman" w:eastAsia="Times New Roman" w:hAnsi="Times New Roman"/>
                <w:sz w:val="16"/>
                <w:szCs w:val="16"/>
                <w:b w:val="1"/>
                <w:bCs w:val="1"/>
                <w:color w:val="auto"/>
              </w:rPr>
              <w:t>PEO</w:t>
            </w:r>
          </w:p>
        </w:tc>
        <w:tc>
          <w:tcPr>
            <w:tcW w:w="3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right w:val="single" w:sz="8" w:color="auto"/>
            </w:tcBorders>
          </w:tcPr>
          <w:p>
            <w:pPr>
              <w:jc w:val="center"/>
              <w:ind w:right="215"/>
              <w:spacing w:after="0" w:line="169"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280" w:type="dxa"/>
            <w:vAlign w:val="bottom"/>
          </w:tcPr>
          <w:p>
            <w:pPr>
              <w:spacing w:after="0"/>
              <w:rPr>
                <w:sz w:val="14"/>
                <w:szCs w:val="14"/>
                <w:color w:val="auto"/>
              </w:rPr>
            </w:pPr>
          </w:p>
        </w:tc>
        <w:tc>
          <w:tcPr>
            <w:tcW w:w="1460" w:type="dxa"/>
            <w:vAlign w:val="bottom"/>
            <w:tcBorders>
              <w:right w:val="single" w:sz="8" w:color="auto"/>
            </w:tcBorders>
          </w:tcPr>
          <w:p>
            <w:pPr>
              <w:jc w:val="center"/>
              <w:ind w:right="216"/>
              <w:spacing w:after="0" w:line="169"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15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Total Shareholder</w:t>
            </w:r>
          </w:p>
        </w:tc>
        <w:tc>
          <w:tcPr>
            <w:tcW w:w="44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8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8"/>
              </w:rPr>
              <w:t>Return</w:t>
            </w:r>
          </w:p>
        </w:tc>
        <w:tc>
          <w:tcPr>
            <w:tcW w:w="4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auto"/>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(b)</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(c)</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(d)</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395"/>
              <w:spacing w:after="0"/>
              <w:rPr>
                <w:sz w:val="20"/>
                <w:szCs w:val="20"/>
                <w:color w:val="auto"/>
              </w:rPr>
            </w:pPr>
            <w:r>
              <w:rPr>
                <w:rFonts w:ascii="Times New Roman" w:cs="Times New Roman" w:eastAsia="Times New Roman" w:hAnsi="Times New Roman"/>
                <w:sz w:val="16"/>
                <w:szCs w:val="16"/>
                <w:b w:val="1"/>
                <w:bCs w:val="1"/>
                <w:color w:val="auto"/>
              </w:rPr>
              <w:t>(g)</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right w:val="single" w:sz="8" w:color="auto"/>
            </w:tcBorders>
            <w:shd w:val="clear" w:color="auto" w:fill="DEEBF7"/>
          </w:tcPr>
          <w:p>
            <w:pPr>
              <w:jc w:val="right"/>
              <w:ind w:right="194"/>
              <w:spacing w:after="0" w:line="196"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4"/>
                <w:szCs w:val="14"/>
                <w:color w:val="auto"/>
              </w:rPr>
              <w:t>(1)</w:t>
            </w:r>
          </w:p>
        </w:tc>
        <w:tc>
          <w:tcPr>
            <w:tcW w:w="320" w:type="dxa"/>
            <w:vAlign w:val="bottom"/>
            <w:shd w:val="clear" w:color="auto" w:fill="DEEBF7"/>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shd w:val="clear" w:color="auto" w:fill="DEEBF7"/>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398,267</w:t>
            </w:r>
          </w:p>
        </w:tc>
        <w:tc>
          <w:tcPr>
            <w:tcW w:w="320" w:type="dxa"/>
            <w:vAlign w:val="bottom"/>
            <w:shd w:val="clear" w:color="auto" w:fill="DEEBF7"/>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shd w:val="clear" w:color="auto" w:fill="DEEBF7"/>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394,040</w:t>
            </w:r>
          </w:p>
        </w:tc>
        <w:tc>
          <w:tcPr>
            <w:tcW w:w="280" w:type="dxa"/>
            <w:vAlign w:val="bottom"/>
            <w:shd w:val="clear" w:color="auto" w:fill="DEEBF7"/>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auto"/>
            </w:tcBorders>
            <w:shd w:val="clear" w:color="auto" w:fill="DEEBF7"/>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306,400</w:t>
            </w:r>
          </w:p>
        </w:tc>
        <w:tc>
          <w:tcPr>
            <w:tcW w:w="280" w:type="dxa"/>
            <w:vAlign w:val="bottom"/>
            <w:shd w:val="clear" w:color="auto" w:fill="DEEBF7"/>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DEEBF7"/>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306,622</w:t>
            </w:r>
          </w:p>
        </w:tc>
        <w:tc>
          <w:tcPr>
            <w:tcW w:w="1500" w:type="dxa"/>
            <w:vAlign w:val="bottom"/>
            <w:tcBorders>
              <w:right w:val="single" w:sz="8" w:color="auto"/>
            </w:tcBorders>
            <w:shd w:val="clear" w:color="auto" w:fill="DEEBF7"/>
          </w:tcPr>
          <w:p>
            <w:pPr>
              <w:jc w:val="center"/>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440" w:type="dxa"/>
            <w:vAlign w:val="bottom"/>
            <w:shd w:val="clear" w:color="auto" w:fill="DEEBF7"/>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DEEBF7"/>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rPr>
              <w:t>(18,490,487)</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jc w:val="right"/>
              <w:ind w:right="194"/>
              <w:spacing w:after="0" w:line="202"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14"/>
                <w:szCs w:val="14"/>
                <w:color w:val="auto"/>
              </w:rPr>
              <w:t>(2)</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439,799</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429,151</w:t>
            </w:r>
          </w:p>
        </w:tc>
        <w:tc>
          <w:tcPr>
            <w:tcW w:w="2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auto"/>
            </w:tcBorders>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330,875</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325,735</w:t>
            </w:r>
          </w:p>
        </w:tc>
        <w:tc>
          <w:tcPr>
            <w:tcW w:w="15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4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(149,192,660)</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bottom w:val="single" w:sz="8" w:color="auto"/>
              <w:right w:val="single" w:sz="8" w:color="auto"/>
            </w:tcBorders>
            <w:shd w:val="clear" w:color="auto" w:fill="DEEBF7"/>
          </w:tcPr>
          <w:p>
            <w:pPr>
              <w:jc w:val="right"/>
              <w:ind w:right="194"/>
              <w:spacing w:after="0" w:line="202"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4"/>
                <w:szCs w:val="14"/>
                <w:color w:val="auto"/>
              </w:rPr>
              <w:t>(3)</w:t>
            </w:r>
          </w:p>
        </w:tc>
        <w:tc>
          <w:tcPr>
            <w:tcW w:w="320" w:type="dxa"/>
            <w:vAlign w:val="bottom"/>
            <w:tcBorders>
              <w:bottom w:val="single" w:sz="8" w:color="auto"/>
            </w:tcBorders>
            <w:shd w:val="clear" w:color="auto" w:fill="DEEBF7"/>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shd w:val="clear" w:color="auto" w:fill="DEEBF7"/>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496,657</w:t>
            </w:r>
          </w:p>
        </w:tc>
        <w:tc>
          <w:tcPr>
            <w:tcW w:w="320" w:type="dxa"/>
            <w:vAlign w:val="bottom"/>
            <w:tcBorders>
              <w:bottom w:val="single" w:sz="8" w:color="auto"/>
            </w:tcBorders>
            <w:shd w:val="clear" w:color="auto" w:fill="DEEBF7"/>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DEEBF7"/>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440,248</w:t>
            </w:r>
          </w:p>
        </w:tc>
        <w:tc>
          <w:tcPr>
            <w:tcW w:w="280" w:type="dxa"/>
            <w:vAlign w:val="bottom"/>
            <w:tcBorders>
              <w:bottom w:val="single" w:sz="8" w:color="auto"/>
            </w:tcBorders>
            <w:shd w:val="clear" w:color="auto" w:fill="DEEBF7"/>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right w:val="single" w:sz="8" w:color="auto"/>
            </w:tcBorders>
            <w:shd w:val="clear" w:color="auto" w:fill="DEEBF7"/>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371,071</w:t>
            </w:r>
          </w:p>
        </w:tc>
        <w:tc>
          <w:tcPr>
            <w:tcW w:w="280" w:type="dxa"/>
            <w:vAlign w:val="bottom"/>
            <w:tcBorders>
              <w:bottom w:val="single" w:sz="8" w:color="auto"/>
            </w:tcBorders>
            <w:shd w:val="clear" w:color="auto" w:fill="DEEBF7"/>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DEEBF7"/>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336,874</w:t>
            </w:r>
          </w:p>
        </w:tc>
        <w:tc>
          <w:tcPr>
            <w:tcW w:w="1500" w:type="dxa"/>
            <w:vAlign w:val="bottom"/>
            <w:tcBorders>
              <w:bottom w:val="single" w:sz="8" w:color="auto"/>
              <w:right w:val="single" w:sz="8" w:color="auto"/>
            </w:tcBorders>
            <w:shd w:val="clear" w:color="auto" w:fill="DEEBF7"/>
          </w:tcPr>
          <w:p>
            <w:pPr>
              <w:jc w:val="center"/>
              <w:spacing w:after="0" w:line="202" w:lineRule="exact"/>
              <w:rPr>
                <w:sz w:val="20"/>
                <w:szCs w:val="20"/>
                <w:color w:val="auto"/>
              </w:rPr>
            </w:pPr>
            <w:r>
              <w:rPr>
                <w:rFonts w:ascii="Times New Roman" w:cs="Times New Roman" w:eastAsia="Times New Roman" w:hAnsi="Times New Roman"/>
                <w:sz w:val="18"/>
                <w:szCs w:val="18"/>
                <w:color w:val="auto"/>
              </w:rPr>
              <w:t>$7.00</w:t>
            </w:r>
          </w:p>
        </w:tc>
        <w:tc>
          <w:tcPr>
            <w:tcW w:w="440" w:type="dxa"/>
            <w:vAlign w:val="bottom"/>
            <w:tcBorders>
              <w:bottom w:val="single" w:sz="8" w:color="auto"/>
            </w:tcBorders>
            <w:shd w:val="clear" w:color="auto" w:fill="DEEBF7"/>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DEEBF7"/>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(27,557,901)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2025 PEO = D. Frank / 2025 Non-PEO = A. Olsen</w:t>
      </w:r>
    </w:p>
    <w:p>
      <w:pPr>
        <w:spacing w:after="0" w:line="15" w:lineRule="exact"/>
        <w:rPr>
          <w:rFonts w:ascii="Times New Roman" w:cs="Times New Roman" w:eastAsia="Times New Roman" w:hAnsi="Times New Roman"/>
          <w:sz w:val="14"/>
          <w:szCs w:val="14"/>
          <w:b w:val="1"/>
          <w:b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2024 PEO = S. Wulf &amp; D. Melbourne / 2024 Non-PEO = D. Frank &amp; A. Olsen</w:t>
      </w:r>
    </w:p>
    <w:p>
      <w:pPr>
        <w:spacing w:after="0" w:line="7" w:lineRule="exact"/>
        <w:rPr>
          <w:rFonts w:ascii="Times New Roman" w:cs="Times New Roman" w:eastAsia="Times New Roman" w:hAnsi="Times New Roman"/>
          <w:sz w:val="14"/>
          <w:szCs w:val="14"/>
          <w:b w:val="1"/>
          <w:b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2023 PEO = S. Wulf / 2023 Non-PEO = D. Frank &amp; D. Melbourne</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accordance with the requirements of Item 402(v) of Regulation S-K, the adjustments made to derive compensation actually paid to our PEO and non-</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PEO NEOs are contained in the following table: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4640" w:type="dxa"/>
            <w:vAlign w:val="bottom"/>
            <w:tcBorders>
              <w:right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10"/>
              <w:spacing w:after="0" w:line="167" w:lineRule="exact"/>
              <w:rPr>
                <w:sz w:val="20"/>
                <w:szCs w:val="20"/>
                <w:color w:val="auto"/>
              </w:rPr>
            </w:pPr>
            <w:r>
              <w:rPr>
                <w:rFonts w:ascii="Times New Roman" w:cs="Times New Roman" w:eastAsia="Times New Roman" w:hAnsi="Times New Roman"/>
                <w:sz w:val="18"/>
                <w:szCs w:val="18"/>
                <w:b w:val="1"/>
                <w:bCs w:val="1"/>
                <w:color w:val="auto"/>
              </w:rPr>
              <w:t>PEO</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right"/>
              <w:spacing w:after="0" w:line="167" w:lineRule="exact"/>
              <w:rPr>
                <w:sz w:val="20"/>
                <w:szCs w:val="20"/>
                <w:color w:val="auto"/>
              </w:rPr>
            </w:pPr>
            <w:r>
              <w:rPr>
                <w:rFonts w:ascii="Times New Roman" w:cs="Times New Roman" w:eastAsia="Times New Roman" w:hAnsi="Times New Roman"/>
                <w:sz w:val="18"/>
                <w:szCs w:val="18"/>
                <w:b w:val="1"/>
                <w:bCs w:val="1"/>
                <w:color w:val="auto"/>
              </w:rPr>
              <w:t>Non-PEO NEOs</w:t>
            </w:r>
          </w:p>
        </w:tc>
        <w:tc>
          <w:tcPr>
            <w:tcW w:w="920" w:type="dxa"/>
            <w:vAlign w:val="bottom"/>
            <w:tcBorders>
              <w:top w:val="single" w:sz="8" w:color="auto"/>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46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640" w:type="dxa"/>
            <w:vAlign w:val="bottom"/>
            <w:tcBorders>
              <w:left w:val="single" w:sz="8" w:color="auto"/>
              <w:right w:val="single" w:sz="8" w:color="auto"/>
            </w:tcBorders>
            <w:shd w:val="clear" w:color="auto" w:fill="DDEBF7"/>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Compensation</w:t>
            </w:r>
          </w:p>
        </w:tc>
        <w:tc>
          <w:tcPr>
            <w:tcW w:w="108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$ 398,267</w:t>
            </w:r>
          </w:p>
        </w:tc>
        <w:tc>
          <w:tcPr>
            <w:tcW w:w="14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EBF7"/>
          </w:tcPr>
          <w:p>
            <w:pPr>
              <w:spacing w:after="0"/>
              <w:rPr>
                <w:sz w:val="15"/>
                <w:szCs w:val="15"/>
                <w:color w:val="auto"/>
              </w:rPr>
            </w:pPr>
          </w:p>
        </w:tc>
        <w:tc>
          <w:tcPr>
            <w:tcW w:w="72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439,799</w:t>
            </w:r>
          </w:p>
        </w:tc>
        <w:tc>
          <w:tcPr>
            <w:tcW w:w="16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DEEBF7"/>
          </w:tcPr>
          <w:p>
            <w:pPr>
              <w:spacing w:after="0"/>
              <w:rPr>
                <w:sz w:val="15"/>
                <w:szCs w:val="15"/>
                <w:color w:val="auto"/>
              </w:rPr>
            </w:pPr>
          </w:p>
        </w:tc>
        <w:tc>
          <w:tcPr>
            <w:tcW w:w="820" w:type="dxa"/>
            <w:vAlign w:val="bottom"/>
            <w:tcBorders>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496,657</w:t>
            </w:r>
          </w:p>
        </w:tc>
        <w:tc>
          <w:tcPr>
            <w:tcW w:w="40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EBF7"/>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9"/>
              </w:rPr>
              <w:t>306,400</w:t>
            </w:r>
          </w:p>
        </w:tc>
        <w:tc>
          <w:tcPr>
            <w:tcW w:w="28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330,875</w:t>
            </w:r>
          </w:p>
        </w:tc>
        <w:tc>
          <w:tcPr>
            <w:tcW w:w="220" w:type="dxa"/>
            <w:vAlign w:val="bottom"/>
            <w:shd w:val="clear" w:color="auto" w:fill="DEEBF7"/>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371,071</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Equity Adjustments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Less FV of CY RS</w:t>
            </w:r>
          </w:p>
        </w:tc>
        <w:tc>
          <w:tcPr>
            <w:tcW w:w="10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72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820" w:type="dxa"/>
            <w:vAlign w:val="bottom"/>
            <w:tcBorders>
              <w:right w:val="single" w:sz="8" w:color="auto"/>
            </w:tcBorders>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(48,000)</w:t>
            </w:r>
          </w:p>
        </w:tc>
        <w:tc>
          <w:tcPr>
            <w:tcW w:w="40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(28,880)</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Less FV of CY Options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(29,262)</w:t>
            </w:r>
          </w:p>
        </w:tc>
        <w:tc>
          <w:tcPr>
            <w:tcW w:w="40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920" w:type="dxa"/>
            <w:vAlign w:val="bottom"/>
            <w:tcBorders>
              <w:right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YE FV of unvested RS</w:t>
            </w:r>
          </w:p>
        </w:tc>
        <w:tc>
          <w:tcPr>
            <w:tcW w:w="10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72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820" w:type="dxa"/>
            <w:vAlign w:val="bottom"/>
            <w:tcBorders>
              <w:right w:val="single" w:sz="8" w:color="auto"/>
            </w:tcBorders>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6,980</w:t>
            </w:r>
          </w:p>
        </w:tc>
        <w:tc>
          <w:tcPr>
            <w:tcW w:w="40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YE FV of unvested Options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7,037</w:t>
            </w:r>
          </w:p>
        </w:tc>
        <w:tc>
          <w:tcPr>
            <w:tcW w:w="40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92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Change in FV of PY unvested RS</w:t>
            </w:r>
          </w:p>
        </w:tc>
        <w:tc>
          <w:tcPr>
            <w:tcW w:w="10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72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(2,717)</w:t>
            </w:r>
          </w:p>
        </w:tc>
        <w:tc>
          <w:tcPr>
            <w:tcW w:w="16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820" w:type="dxa"/>
            <w:vAlign w:val="bottom"/>
            <w:tcBorders>
              <w:right w:val="single" w:sz="8" w:color="auto"/>
            </w:tcBorders>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(8,726)</w:t>
            </w:r>
          </w:p>
        </w:tc>
        <w:tc>
          <w:tcPr>
            <w:tcW w:w="40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(1,639)</w:t>
            </w:r>
          </w:p>
        </w:tc>
        <w:tc>
          <w:tcPr>
            <w:tcW w:w="22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Change in FV of PY unvested Options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(4,698)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(2,971)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(6,060)</w:t>
            </w:r>
          </w:p>
        </w:tc>
        <w:tc>
          <w:tcPr>
            <w:tcW w:w="40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(2,251)</w:t>
            </w:r>
          </w:p>
        </w:tc>
        <w:tc>
          <w:tcPr>
            <w:tcW w:w="220" w:type="dxa"/>
            <w:vAlign w:val="bottom"/>
          </w:tcPr>
          <w:p>
            <w:pPr>
              <w:spacing w:after="0"/>
              <w:rPr>
                <w:sz w:val="16"/>
                <w:szCs w:val="16"/>
                <w:color w:val="auto"/>
              </w:rPr>
            </w:pPr>
          </w:p>
        </w:tc>
        <w:tc>
          <w:tcPr>
            <w:tcW w:w="920" w:type="dxa"/>
            <w:vAlign w:val="bottom"/>
            <w:tcBorders>
              <w:right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CY Vested RS</w:t>
            </w:r>
          </w:p>
        </w:tc>
        <w:tc>
          <w:tcPr>
            <w:tcW w:w="10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72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820" w:type="dxa"/>
            <w:vAlign w:val="bottom"/>
            <w:tcBorders>
              <w:right w:val="single" w:sz="8" w:color="auto"/>
            </w:tcBorders>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16,004</w:t>
            </w:r>
          </w:p>
        </w:tc>
        <w:tc>
          <w:tcPr>
            <w:tcW w:w="40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CY Vested Options</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10,219</w:t>
            </w:r>
          </w:p>
        </w:tc>
        <w:tc>
          <w:tcPr>
            <w:tcW w:w="400" w:type="dxa"/>
            <w:vAlign w:val="bottom"/>
          </w:tcPr>
          <w:p>
            <w:pPr>
              <w:spacing w:after="0"/>
              <w:rPr>
                <w:sz w:val="16"/>
                <w:szCs w:val="16"/>
                <w:color w:val="auto"/>
              </w:rPr>
            </w:pPr>
          </w:p>
        </w:tc>
        <w:tc>
          <w:tcPr>
            <w:tcW w:w="7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92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PY Vested RS</w:t>
            </w:r>
          </w:p>
        </w:tc>
        <w:tc>
          <w:tcPr>
            <w:tcW w:w="10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72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(6,764)</w:t>
            </w:r>
          </w:p>
        </w:tc>
        <w:tc>
          <w:tcPr>
            <w:tcW w:w="160" w:type="dxa"/>
            <w:vAlign w:val="bottom"/>
            <w:shd w:val="clear" w:color="auto" w:fill="DEEBF7"/>
          </w:tcPr>
          <w:p>
            <w:pPr>
              <w:spacing w:after="0"/>
              <w:rPr>
                <w:sz w:val="16"/>
                <w:szCs w:val="16"/>
                <w:color w:val="auto"/>
              </w:rPr>
            </w:pPr>
          </w:p>
        </w:tc>
        <w:tc>
          <w:tcPr>
            <w:tcW w:w="240" w:type="dxa"/>
            <w:vAlign w:val="bottom"/>
            <w:shd w:val="clear" w:color="auto" w:fill="DEEBF7"/>
          </w:tcPr>
          <w:p>
            <w:pPr>
              <w:spacing w:after="0"/>
              <w:rPr>
                <w:sz w:val="16"/>
                <w:szCs w:val="16"/>
                <w:color w:val="auto"/>
              </w:rPr>
            </w:pPr>
          </w:p>
        </w:tc>
        <w:tc>
          <w:tcPr>
            <w:tcW w:w="820" w:type="dxa"/>
            <w:vAlign w:val="bottom"/>
            <w:tcBorders>
              <w:right w:val="single" w:sz="8" w:color="auto"/>
            </w:tcBorders>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(10,640)</w:t>
            </w:r>
          </w:p>
        </w:tc>
        <w:tc>
          <w:tcPr>
            <w:tcW w:w="40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(2,640)</w:t>
            </w:r>
          </w:p>
        </w:tc>
        <w:tc>
          <w:tcPr>
            <w:tcW w:w="22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(6,420)</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bottom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PY Vested Options</w:t>
            </w: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1,805</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6,040</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1,391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183"/>
        </w:trPr>
        <w:tc>
          <w:tcPr>
            <w:tcW w:w="4640" w:type="dxa"/>
            <w:vAlign w:val="bottom"/>
            <w:tcBorders>
              <w:left w:val="single" w:sz="8" w:color="auto"/>
              <w:bottom w:val="single" w:sz="8" w:color="auto"/>
              <w:right w:val="single" w:sz="8" w:color="auto"/>
            </w:tcBorders>
            <w:shd w:val="clear" w:color="auto" w:fill="DDEBF7"/>
          </w:tcPr>
          <w:p>
            <w:pPr>
              <w:ind w:left="120"/>
              <w:spacing w:after="0" w:line="182" w:lineRule="exact"/>
              <w:rPr>
                <w:sz w:val="20"/>
                <w:szCs w:val="20"/>
                <w:color w:val="auto"/>
              </w:rPr>
            </w:pPr>
            <w:r>
              <w:rPr>
                <w:rFonts w:ascii="Times New Roman" w:cs="Times New Roman" w:eastAsia="Times New Roman" w:hAnsi="Times New Roman"/>
                <w:sz w:val="18"/>
                <w:szCs w:val="18"/>
                <w:color w:val="auto"/>
              </w:rPr>
              <w:t>Actual Compensation</w:t>
            </w:r>
          </w:p>
        </w:tc>
        <w:tc>
          <w:tcPr>
            <w:tcW w:w="108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$ 394,040</w:t>
            </w:r>
          </w:p>
        </w:tc>
        <w:tc>
          <w:tcPr>
            <w:tcW w:w="140" w:type="dxa"/>
            <w:vAlign w:val="bottom"/>
            <w:tcBorders>
              <w:bottom w:val="single" w:sz="8" w:color="auto"/>
            </w:tcBorders>
            <w:shd w:val="clear" w:color="auto" w:fill="DEEBF7"/>
          </w:tcPr>
          <w:p>
            <w:pPr>
              <w:spacing w:after="0"/>
              <w:rPr>
                <w:sz w:val="15"/>
                <w:szCs w:val="15"/>
                <w:color w:val="auto"/>
              </w:rPr>
            </w:pPr>
          </w:p>
        </w:tc>
        <w:tc>
          <w:tcPr>
            <w:tcW w:w="24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429,151</w:t>
            </w:r>
          </w:p>
        </w:tc>
        <w:tc>
          <w:tcPr>
            <w:tcW w:w="160" w:type="dxa"/>
            <w:vAlign w:val="bottom"/>
            <w:tcBorders>
              <w:bottom w:val="single" w:sz="8" w:color="auto"/>
            </w:tcBorders>
            <w:shd w:val="clear" w:color="auto" w:fill="DEEBF7"/>
          </w:tcPr>
          <w:p>
            <w:pPr>
              <w:spacing w:after="0"/>
              <w:rPr>
                <w:sz w:val="15"/>
                <w:szCs w:val="15"/>
                <w:color w:val="auto"/>
              </w:rPr>
            </w:pPr>
          </w:p>
        </w:tc>
        <w:tc>
          <w:tcPr>
            <w:tcW w:w="24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440,248</w:t>
            </w:r>
          </w:p>
        </w:tc>
        <w:tc>
          <w:tcPr>
            <w:tcW w:w="40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DEEBF7"/>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9"/>
              </w:rPr>
              <w:t>306,622</w:t>
            </w:r>
          </w:p>
        </w:tc>
        <w:tc>
          <w:tcPr>
            <w:tcW w:w="28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325,735</w:t>
            </w:r>
          </w:p>
        </w:tc>
        <w:tc>
          <w:tcPr>
            <w:tcW w:w="220" w:type="dxa"/>
            <w:vAlign w:val="bottom"/>
            <w:tcBorders>
              <w:bottom w:val="single" w:sz="8" w:color="auto"/>
            </w:tcBorders>
            <w:shd w:val="clear" w:color="auto" w:fill="DEEBF7"/>
          </w:tcPr>
          <w:p>
            <w:pPr>
              <w:spacing w:after="0"/>
              <w:rPr>
                <w:sz w:val="15"/>
                <w:szCs w:val="15"/>
                <w:color w:val="auto"/>
              </w:rPr>
            </w:pPr>
          </w:p>
        </w:tc>
        <w:tc>
          <w:tcPr>
            <w:tcW w:w="920" w:type="dxa"/>
            <w:vAlign w:val="bottom"/>
            <w:tcBorders>
              <w:bottom w:val="single" w:sz="8" w:color="auto"/>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$336,874</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35</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9"/>
        </w:trPr>
        <w:tc>
          <w:tcPr>
            <w:tcW w:w="4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Description of the Relationship Between Compensation Actually Paid and Selected Performance Metric</w:t>
      </w:r>
    </w:p>
    <w:p>
      <w:pPr>
        <w:spacing w:after="0" w:line="17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compensation for our PEO and NEOs includes salary, non-equity incentives and stock and option awards. The equity incentive programs we have in place are intended to build stockholder value by tying the interests of our executive officers to the success of the Company as “owners” of our business, and to drive alignment on the effective and efficient use of available cash. The charts below depict the relationship between the executive compensation actually paid to our PEO and our non-PEO NEOs and our net income and the value of an initial fixed $100 investment based on Total Shareholder Return (“TSR”) for the three-year period of 2023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147955</wp:posOffset>
            </wp:positionV>
            <wp:extent cx="5709285" cy="1877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75"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We have entered into an employment agreement with Mr. Frank, which provides for the payment of a base salary; an annual bonus opportunity based on a percentage of his salary, with any bonus payout determined at the discretion of our Board based on achievement of financial targets and other performance criteria; and certain other forms of benefits and compensation.</w:t>
      </w:r>
    </w:p>
    <w:p>
      <w:pPr>
        <w:spacing w:after="0" w:line="15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Mr. Frank’s employment agreement remains in effect unless and until terminated in accordance with the terms and conditions set forth in the agreement. His agreement provides that employment may be terminated by either us or him with no less than thirty days’ notice to the other party. If his employment is terminated by us without cause or by him for good reason, as those terms are defined in the employment agreement, he would be paid one year of continued base salary, starting on the date of termination and a prorated earned bonus payment. In addition, if such termination occurs within 12 months following the occurrence of a change in control (as such term is defined in the employment agreement), the agreement also provides for 100% acceleration of stock option and restricted share grants. Receipt of the severance payments and benefits described above is subject to his execution of a release of claims and continued compliance with a non-disparagement covenant. Under his agreement, we may terminate his employment without notice or payment at any time for cause.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7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provide an employee retirement plan under Section 401(k) of the Internal Revenue Code (the “401(k) plan”), to all U.S. employees who are eligible employees as defined in the 401(k) plan. Subject to annual limits set by the Internal Revenue Service, we match 50% of eligible employee contributions up to a maximum of 3% of an employee’s salary, and vesting in our match is immediate. We made contributions in connection with the 401(k) plan during the years ended December 31, 2025 and 2024, of $28,965 and $70,193,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Retirement Savings Plan</w:t>
      </w:r>
    </w:p>
    <w:p>
      <w:pPr>
        <w:spacing w:after="0" w:line="18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We had a Registered Retirement Savings Plan for our Canadian employees. Subject to annual limits set by the Canadian government, we matched 50% of eligible employee contributions up to a maximum of 3% of an employee’s salary, and vesting in our match was immediate. We made contributions in connection with this plan during the years ended December 31, 2025 and 2024, of $1,080 and $39,024, respectively.</w:t>
      </w:r>
    </w:p>
    <w:p>
      <w:pPr>
        <w:spacing w:after="0" w:line="1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have agreed to indemnify our directors and officers in certain circumstances. See “Related-Party Transactions, Policies, and Procedures- Agreements with Our Directors and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Practices</w:t>
      </w:r>
    </w:p>
    <w:p>
      <w:pPr>
        <w:spacing w:after="0" w:line="189"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We do not grant option awards in anticipation of the release of material nonpublic information, and we do not time the release of material nonpublic information based on option award grant dates or for the purpose of affecting the value of executive compensation. In addition, we do not take material nonpublic information into account when determining the timing and terms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PERSON TRANSACTIONS, POLICIES, AND PROCEDURES</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In addition to the director and executive compensation arrangements discussed above in the sections titled “Proposal 1 - Election of Directors” and “Executive Compensation,” we have been a party to the following transactions since January 1, 2025, in which the amount involved exceeded or will exceed the lesser of $120,000 or 1% of the average of our total assets as of the end of the last two completed fiscal years, and in which any director, executive officer, or holder of more than 5% of any class of our voting stock, or any member of the immediate family of or entities affiliated with any of them, had or will have a direct or indirect material interest. We also describe below certain transactions and series of similar transactions since January 1, 2025, with our directors, executive officers, holders of more than 5% of any class of our voting securities, or any member of the immediate family of or any entities affiliated with any of the foregoing persons to which we are party.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Directors and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more information regarding employment agreements with certain of our executive officers, see ‘‘Executive Compensation - Employment Agreements.’’</w:t>
      </w:r>
    </w:p>
    <w:p>
      <w:pPr>
        <w:spacing w:after="0" w:line="183"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to the maximum extent allowed under Delaware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Review of Related Person Transactions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Board has adopted a written policy with respect to related person transactions. This policy governs the review, approval, and ratification of covered related person transactions. The AC of the Board manages this policy.</w:t>
      </w:r>
    </w:p>
    <w:p>
      <w:pPr>
        <w:spacing w:after="0" w:line="12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For purposes of this policy, a “related person transaction” is a transaction, arrangement, or relationship (or any series of similar transactions, arrangements, or relationships) in which we (or any of our subsidiaries) were, are, or will be a participant, and in which any related person had, has, or will have a direct or indirect interest. For purposes of determining whether a transaction is a related person transaction, the AC relies upon Item 404 of Regulation S-K promulgated under the Exchange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person” is defined as:</w:t>
      </w:r>
    </w:p>
    <w:p>
      <w:pPr>
        <w:spacing w:after="0" w:line="185" w:lineRule="exact"/>
        <w:rPr>
          <w:sz w:val="20"/>
          <w:szCs w:val="20"/>
          <w:color w:val="auto"/>
        </w:rPr>
      </w:pPr>
    </w:p>
    <w:p>
      <w:pPr>
        <w:ind w:left="520" w:right="200"/>
        <w:spacing w:after="0" w:line="238" w:lineRule="auto"/>
        <w:rPr>
          <w:sz w:val="20"/>
          <w:szCs w:val="20"/>
          <w:color w:val="auto"/>
        </w:rPr>
      </w:pPr>
      <w:r>
        <w:rPr>
          <w:rFonts w:ascii="Times New Roman" w:cs="Times New Roman" w:eastAsia="Times New Roman" w:hAnsi="Times New Roman"/>
          <w:sz w:val="18"/>
          <w:szCs w:val="18"/>
          <w:color w:val="auto"/>
        </w:rPr>
        <w:t>any person who is, or at any time since the beginning of our last fiscal year was, one of our directors or executive officers or a nominee to become one of our directors;</w:t>
      </w:r>
    </w:p>
    <w:p>
      <w:pPr>
        <w:ind w:left="520" w:right="240"/>
        <w:spacing w:after="0" w:line="226" w:lineRule="auto"/>
        <w:rPr>
          <w:sz w:val="20"/>
          <w:szCs w:val="20"/>
          <w:color w:val="auto"/>
        </w:rPr>
      </w:pPr>
      <w:r>
        <w:rPr>
          <w:rFonts w:ascii="Times New Roman" w:cs="Times New Roman" w:eastAsia="Times New Roman" w:hAnsi="Times New Roman"/>
          <w:sz w:val="18"/>
          <w:szCs w:val="18"/>
          <w:color w:val="auto"/>
        </w:rPr>
        <w:t>any person who, at the time of the occurrence or existence of the transaction, is known to be the beneficial owner of more than 5% of any class of our voting securities;</w:t>
      </w:r>
    </w:p>
    <w:p>
      <w:pPr>
        <w:spacing w:after="0" w:line="1" w:lineRule="exact"/>
        <w:rPr>
          <w:sz w:val="20"/>
          <w:szCs w:val="20"/>
          <w:color w:val="auto"/>
        </w:rPr>
      </w:pPr>
    </w:p>
    <w:p>
      <w:pPr>
        <w:ind w:left="520" w:right="40"/>
        <w:spacing w:after="0" w:line="230" w:lineRule="auto"/>
        <w:rPr>
          <w:sz w:val="20"/>
          <w:szCs w:val="20"/>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the director, executive officer, nominee, or more- than-five-percent beneficial owner and any person (other than a tenant or employee) sharing the household of such director, executive officer, nominee, or more-than-five-percent beneficial owner.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generally provides that we may enter into a related person transaction only if:</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AC pre-approves such transaction in accordance with the guidelines set forth in the policy;</w:t>
      </w:r>
    </w:p>
    <w:p>
      <w:pPr>
        <w:spacing w:after="0" w:line="15" w:lineRule="exact"/>
        <w:rPr>
          <w:sz w:val="20"/>
          <w:szCs w:val="20"/>
          <w:color w:val="auto"/>
        </w:rPr>
      </w:pPr>
    </w:p>
    <w:p>
      <w:pPr>
        <w:ind w:left="520" w:right="400"/>
        <w:spacing w:after="0" w:line="226" w:lineRule="auto"/>
        <w:rPr>
          <w:sz w:val="20"/>
          <w:szCs w:val="20"/>
          <w:color w:val="auto"/>
        </w:rPr>
      </w:pPr>
      <w:r>
        <w:rPr>
          <w:rFonts w:ascii="Times New Roman" w:cs="Times New Roman" w:eastAsia="Times New Roman" w:hAnsi="Times New Roman"/>
          <w:sz w:val="18"/>
          <w:szCs w:val="18"/>
          <w:color w:val="auto"/>
        </w:rPr>
        <w:t>the transaction is on terms comparable to those that could be obtained in arm’s-length dealings with an unrelated third party, and the AC (or the chair of the AC) approves or ratifies such transaction in accordance with the guidelines set forth in the policy;</w:t>
      </w:r>
    </w:p>
    <w:p>
      <w:pPr>
        <w:spacing w:after="0" w:line="1" w:lineRule="exact"/>
        <w:rPr>
          <w:sz w:val="20"/>
          <w:szCs w:val="20"/>
          <w:color w:val="auto"/>
        </w:rPr>
      </w:pPr>
    </w:p>
    <w:p>
      <w:pPr>
        <w:ind w:left="260"/>
        <w:spacing w:after="0" w:line="219" w:lineRule="auto"/>
        <w:rPr>
          <w:sz w:val="20"/>
          <w:szCs w:val="20"/>
          <w:color w:val="auto"/>
        </w:rPr>
      </w:pPr>
      <w:r>
        <w:rPr>
          <w:rFonts w:ascii="Times New Roman" w:cs="Times New Roman" w:eastAsia="Times New Roman" w:hAnsi="Times New Roman"/>
          <w:sz w:val="18"/>
          <w:szCs w:val="18"/>
          <w:color w:val="auto"/>
        </w:rPr>
        <w:t>the transaction is approved by the disinterested members of the Board; or</w:t>
      </w:r>
    </w:p>
    <w:p>
      <w:pPr>
        <w:ind w:left="260"/>
        <w:spacing w:after="0"/>
        <w:rPr>
          <w:sz w:val="20"/>
          <w:szCs w:val="20"/>
          <w:color w:val="auto"/>
        </w:rPr>
      </w:pPr>
      <w:r>
        <w:rPr>
          <w:rFonts w:ascii="Times New Roman" w:cs="Times New Roman" w:eastAsia="Times New Roman" w:hAnsi="Times New Roman"/>
          <w:sz w:val="18"/>
          <w:szCs w:val="18"/>
          <w:color w:val="auto"/>
        </w:rPr>
        <w:t>the transaction involves compensation approved by the Compensation and Human Capital Committee of the Board.</w:t>
      </w:r>
    </w:p>
    <w:p>
      <w:pPr>
        <w:spacing w:after="0" w:line="16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If a related person transaction is not pre-approved by the AC, and our management determines to recommend such related person transaction to the AC, such transaction must be reviewed by the AC. After review, the AC will approve or disapprove such transaction. In addition, the AC reviews the policy at least annually and recommends amendments to the policy to the Board from time to time.</w:t>
      </w:r>
    </w:p>
    <w:p>
      <w:pPr>
        <w:spacing w:after="0" w:line="143"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color w:val="auto"/>
        </w:rPr>
        <w:t>The policy provides that all related person transactions will be disclosed to the AC and all material related person transactions will be disclosed to the Board. Additionally, all related person transactions requiring public disclosure will be properly disclosed in our public filings.</w:t>
      </w:r>
    </w:p>
    <w:p>
      <w:pPr>
        <w:ind w:left="586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line="236" w:lineRule="auto"/>
        <w:rPr>
          <w:sz w:val="20"/>
          <w:szCs w:val="20"/>
          <w:color w:val="auto"/>
        </w:rPr>
      </w:pPr>
      <w:r>
        <w:rPr>
          <w:rFonts w:ascii="Times New Roman" w:cs="Times New Roman" w:eastAsia="Times New Roman" w:hAnsi="Times New Roman"/>
          <w:sz w:val="18"/>
          <w:szCs w:val="18"/>
          <w:color w:val="auto"/>
        </w:rPr>
        <w:t>The AC will review all relevant information available to it about the related person transaction. The policy provides that the AC may approve or ratify the related person transaction only if the AC determines that, under all of the circumstances, the transaction is in, or is not inconsistent with, our best interests. The policy provides that the AC may, in its sole discretion, impose such conditions as it deems appropriate on us or the related person in connection with approval of the related person transaction.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our audited consolidated financial statements for the year ended December 31, 2025, included in our Annual Report on Form 10-K for that period.</w:t>
      </w:r>
    </w:p>
    <w:p>
      <w:pPr>
        <w:spacing w:after="0" w:line="14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b w:val="1"/>
          <w:bCs w:val="1"/>
          <w:color w:val="auto"/>
        </w:rPr>
        <w:t>Composition and Charter</w:t>
      </w:r>
      <w:r>
        <w:rPr>
          <w:rFonts w:ascii="Times New Roman" w:cs="Times New Roman" w:eastAsia="Times New Roman" w:hAnsi="Times New Roman"/>
          <w:sz w:val="18"/>
          <w:szCs w:val="18"/>
          <w:color w:val="auto"/>
        </w:rPr>
        <w:t>. The Audit Committee (“AC”) of our Board currently consists of three independent directors, as that term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5605(a)(2) of the NASDAQ Marketplace Rules: Mr. Sterling, who serves as Chair of the AC, Mr. Bensler and Mr. Lichti. The AC operates under a written charter adopted by our Board and is available on our corporate website (www.aquabounty.com) under “Investor Relations.” The Board and the AC review and assess the adequacy of the charter and the AC performance on an annual basis.</w:t>
      </w:r>
    </w:p>
    <w:p>
      <w:pPr>
        <w:spacing w:after="0" w:line="154"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b w:val="1"/>
          <w:bCs w:val="1"/>
          <w:color w:val="auto"/>
        </w:rPr>
        <w:t>Responsibilities</w:t>
      </w:r>
      <w:r>
        <w:rPr>
          <w:rFonts w:ascii="Times New Roman" w:cs="Times New Roman" w:eastAsia="Times New Roman" w:hAnsi="Times New Roman"/>
          <w:sz w:val="18"/>
          <w:szCs w:val="18"/>
          <w:color w:val="auto"/>
        </w:rPr>
        <w:t>. The AC assists our Board in fulfilling its oversight responsibilities by reviewing the financial information that will be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our stockholders and others; reviewing our systems of internal control over financial reporting, disclosure controls and procedures, and our financial reporting process that management has established and the Board oversees; and endeavoring to maintain free and open lines of communication among the AC, our independent registered public accounting firm, Deloitte &amp; Touche LLP (“Deloitte”) and management. The AC is also responsible for the review of all critical accounting policies and practices to be used by us; the review and approval or disapproval of all proposed transactions or courses of dealings that are required to be disclosed by Item 404 of Regulation S-K that are not otherwise approved by a comparable committee or the entire Board; and 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The AC also has the authority to secure independent expert advice to the extent the AC determines it to be appropriate, including retaining independent counsel, accountants, consultants, or others, to assist the AC in fulfilling its duties and responsibilities.</w:t>
      </w:r>
    </w:p>
    <w:p>
      <w:pPr>
        <w:spacing w:after="0" w:line="162"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18"/>
          <w:szCs w:val="18"/>
          <w:color w:val="auto"/>
        </w:rPr>
        <w:t>It is not the duty of the AC to plan or conduct audits or to prepare our consolidated financial statements. Management is responsible for preparing our consolidated financial statements and has the primary responsibility for assuring their accuracy and completeness, and Deloitte is responsible for auditing those consolidated financial statements and expressing its opinion as to their presenting fairly in accordance with Generally Accepted Accounting Principles (“GAAP”) our financial condition, results of operations, and cash flows. However, the AC does consult with management and Deloitte prior to the presentation of consolidated financial statements to stockholders and, as appropriate, initiates inquiries into various aspects of our financial affairs. In addition, the AC is responsible for the oversight of Deloitte; considering and approving the appointment of and approving all engagements of, and fee arrangements with Deloitte; and the evaluation of Deloitte’s independence.</w:t>
      </w:r>
    </w:p>
    <w:p>
      <w:pPr>
        <w:spacing w:after="0" w:line="146"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18"/>
          <w:szCs w:val="18"/>
          <w:color w:val="auto"/>
        </w:rPr>
        <w:t>In the absence of their possession of information that would give them a reason to believe that such reliance is unwarranted, the members of the AC rely without independent verification on the information provided to them, and on the representations made, by our management and our independent registered public accounting firm. Accordingly, the AC’s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AC’s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Review with Management and Independent Registered Public Accounting Firm</w:t>
      </w:r>
      <w:r>
        <w:rPr>
          <w:rFonts w:ascii="Times New Roman" w:cs="Times New Roman" w:eastAsia="Times New Roman" w:hAnsi="Times New Roman"/>
          <w:sz w:val="18"/>
          <w:szCs w:val="18"/>
          <w:color w:val="auto"/>
        </w:rPr>
        <w:t>. The AC has reviewed and discussed the quality, not just the</w:t>
      </w:r>
    </w:p>
    <w:p>
      <w:pPr>
        <w:spacing w:after="0" w:line="20"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acceptability, of our accounting principles; the reasonableness of significant judgments; and the clarity of disclosures in the audited financial statements with our management and Deloitte. In addition, the AC has consulted with management and Deloitte prior to the presentation of our consolidated financial statements to stockholders. The AC has discussed with Deloitte the matters required to be communicated by Public Company Accounting Oversight Board (“PCAOB”) and the Securities and Exchange Commission. The AC has received the written communications and the letter from Deloitte required by applicable requirements of the PCAOB regarding the independent accountant’s communications with the AC concerning independence and has discussed with Deloitte its independence from us, including whether its provision of non-audit services has compromised such independence.</w:t>
      </w:r>
    </w:p>
    <w:p>
      <w:pPr>
        <w:spacing w:after="0" w:line="1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b w:val="1"/>
          <w:bCs w:val="1"/>
          <w:color w:val="auto"/>
        </w:rPr>
        <w:t>Conclusion and Appointment of Independent Registered Public Accounting Firm</w:t>
      </w:r>
      <w:r>
        <w:rPr>
          <w:rFonts w:ascii="Times New Roman" w:cs="Times New Roman" w:eastAsia="Times New Roman" w:hAnsi="Times New Roman"/>
          <w:sz w:val="17"/>
          <w:szCs w:val="17"/>
          <w:color w:val="auto"/>
        </w:rPr>
        <w:t>. Based on the reviews and discussions referred to above in</w:t>
      </w:r>
    </w:p>
    <w:p>
      <w:pPr>
        <w:spacing w:after="0" w:line="3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this report, the AC recommended to our Board that the audited consolidated financial statements be included in our Annual Report on Form 10-K for the year ended December 31, 2025, for filing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Sterling (Chair)</w:t>
      </w:r>
    </w:p>
    <w:p>
      <w:pPr>
        <w:spacing w:after="0" w:line="221" w:lineRule="auto"/>
        <w:rPr>
          <w:sz w:val="20"/>
          <w:szCs w:val="20"/>
          <w:color w:val="auto"/>
        </w:rPr>
      </w:pPr>
      <w:r>
        <w:rPr>
          <w:rFonts w:ascii="Times New Roman" w:cs="Times New Roman" w:eastAsia="Times New Roman" w:hAnsi="Times New Roman"/>
          <w:sz w:val="18"/>
          <w:szCs w:val="18"/>
          <w:color w:val="auto"/>
        </w:rPr>
        <w:t>Graydon Bensler</w:t>
      </w:r>
    </w:p>
    <w:p>
      <w:pPr>
        <w:spacing w:after="0"/>
        <w:rPr>
          <w:sz w:val="20"/>
          <w:szCs w:val="20"/>
          <w:color w:val="auto"/>
        </w:rPr>
      </w:pPr>
      <w:r>
        <w:rPr>
          <w:rFonts w:ascii="Times New Roman" w:cs="Times New Roman" w:eastAsia="Times New Roman" w:hAnsi="Times New Roman"/>
          <w:sz w:val="18"/>
          <w:szCs w:val="18"/>
          <w:color w:val="auto"/>
        </w:rPr>
        <w:t>Braeden Lichti</w:t>
      </w:r>
    </w:p>
    <w:p>
      <w:pPr>
        <w:spacing w:after="0" w:line="1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Notwithstanding anything to the contrary in any of our previous or future filings under the Securities Act of 1933, as amended, or the Exchange Act that might incorporate this proxy statement or future filings made by us under those statutes, the Audit Committee Report and reference to the independence of the AC members are not deemed filed with the SEC and shall not be deemed incorporated by reference into any of those prior filings or into any future filings made by us under those statutes.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41" w:name="page42"/>
    <w:bookmarkEnd w:id="4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ANNUAL REPORT; AVAILABLE INFORMATION</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2025, filed with the SEC on March 31, 2026, is available over the Internet on our corporate website (www.aquabounty.com). The Annual Report on Form 10-K is not incorporated into this proxy statement and is not considered proxy solicitation material.</w:t>
      </w:r>
    </w:p>
    <w:p>
      <w:pPr>
        <w:spacing w:after="0" w:line="143"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8"/>
          <w:szCs w:val="18"/>
          <w:color w:val="auto"/>
        </w:rPr>
        <w:t>Stockholders may request a paper or email copy of our Annual Report on Form 10-K for the fiscal year ended December 31, 2025, free of charge, by following the instructions in the proxy materials. All reports and documents we file with the SEC are also available, free of charge, on our corporate website (www.aquabounty.com) under “Investor Relations.”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w:t>
      </w:r>
    </w:p>
    <w:p>
      <w:pPr>
        <w:ind w:left="7060"/>
        <w:spacing w:after="0"/>
        <w:rPr>
          <w:sz w:val="20"/>
          <w:szCs w:val="20"/>
          <w:color w:val="auto"/>
        </w:rPr>
      </w:pPr>
      <w:r>
        <w:rPr>
          <w:rFonts w:ascii="Times New Roman" w:cs="Times New Roman" w:eastAsia="Times New Roman" w:hAnsi="Times New Roman"/>
          <w:sz w:val="17"/>
          <w:szCs w:val="17"/>
          <w:color w:val="auto"/>
        </w:rPr>
        <w:t>BY ORDER OF THE BOARD OF DIRECTORS OF</w:t>
      </w:r>
    </w:p>
    <w:p>
      <w:pPr>
        <w:ind w:left="706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1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David Frank</w:t>
      </w:r>
    </w:p>
    <w:p>
      <w:pPr>
        <w:spacing w:after="0" w:line="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Harvard, Massachusetts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4" w:right="679" w:bottom="1440" w:gutter="0" w:footer="0" w:header="0"/>
        </w:sectPr>
      </w:pPr>
    </w:p>
    <w:bookmarkStart w:id="42" w:name="page43"/>
    <w:bookmarkEnd w:id="42"/>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5" w:lineRule="exact"/>
        <w:rPr>
          <w:sz w:val="20"/>
          <w:szCs w:val="20"/>
          <w:color w:val="auto"/>
        </w:rPr>
      </w:pPr>
    </w:p>
    <w:p>
      <w:pPr>
        <w:jc w:val="center"/>
        <w:ind w:left="520" w:right="2220"/>
        <w:spacing w:after="0" w:line="238" w:lineRule="auto"/>
        <w:rPr>
          <w:sz w:val="20"/>
          <w:szCs w:val="20"/>
          <w:color w:val="auto"/>
        </w:rPr>
      </w:pPr>
      <w:r>
        <w:rPr>
          <w:rFonts w:ascii="Times New Roman" w:cs="Times New Roman" w:eastAsia="Times New Roman" w:hAnsi="Times New Roman"/>
          <w:sz w:val="18"/>
          <w:szCs w:val="18"/>
          <w:b w:val="1"/>
          <w:bCs w:val="1"/>
          <w:color w:val="auto"/>
        </w:rPr>
        <w:t>CERTIFICATE OF AMENDMENT TO THE THIRD AMENDED AND RESTATED CERTIFICATE OF INCORPORATION OF AQUABOUNTY TECHNOLOGIES, INC.</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AquaBounty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ind w:left="10"/>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w:t>
      </w:r>
    </w:p>
    <w:p>
      <w:pPr>
        <w:spacing w:after="0" w:line="57" w:lineRule="exact"/>
        <w:rPr>
          <w:sz w:val="20"/>
          <w:szCs w:val="20"/>
          <w:color w:val="auto"/>
        </w:rPr>
      </w:pPr>
    </w:p>
    <w:p>
      <w:pPr>
        <w:ind w:left="170" w:hanging="170"/>
        <w:spacing w:after="0"/>
        <w:tabs>
          <w:tab w:leader="none" w:pos="1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Pursuant to Section 242 of the DGCL, this Certificate of Amendment to the Third Amended and Restated Certificate of Incorporation (this</w:t>
      </w:r>
    </w:p>
    <w:p>
      <w:pPr>
        <w:spacing w:after="0" w:line="16" w:lineRule="exact"/>
        <w:rPr>
          <w:sz w:val="20"/>
          <w:szCs w:val="20"/>
          <w:color w:val="auto"/>
        </w:rPr>
      </w:pPr>
    </w:p>
    <w:p>
      <w:pPr>
        <w:ind w:left="10" w:right="240"/>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amends the provisions of the Third Amended and Restated Certificate of Incorporation of the Corporation, as amended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 w:right="280" w:hanging="10"/>
        <w:spacing w:after="0" w:line="266" w:lineRule="auto"/>
        <w:tabs>
          <w:tab w:leader="none" w:pos="17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Certificate of Amendment has been approved and duly adopted by the Corporation’s Board of Directors and stockholders in accordance with the provisions of Section 242 of the DGCL.</w:t>
      </w:r>
    </w:p>
    <w:p>
      <w:pPr>
        <w:spacing w:after="0" w:line="27" w:lineRule="exact"/>
        <w:rPr>
          <w:rFonts w:ascii="Times New Roman" w:cs="Times New Roman" w:eastAsia="Times New Roman" w:hAnsi="Times New Roman"/>
          <w:sz w:val="16"/>
          <w:szCs w:val="16"/>
          <w:color w:val="auto"/>
        </w:rPr>
      </w:pPr>
    </w:p>
    <w:p>
      <w:pPr>
        <w:ind w:left="10" w:hanging="10"/>
        <w:spacing w:after="0" w:line="250" w:lineRule="auto"/>
        <w:tabs>
          <w:tab w:leader="none" w:pos="17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Upon this Certificate of Amendment becoming effective, the Charter is hereby amended as follows: Subsection 4(a) of the Charter is hereby amended and restated in its entirety to read as follows:</w:t>
      </w:r>
    </w:p>
    <w:p>
      <w:pPr>
        <w:spacing w:after="0" w:line="23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8"/>
          <w:szCs w:val="18"/>
          <w:color w:val="auto"/>
        </w:rPr>
        <w:t>“4. (a) The Corporation is authorized to issue two classes of stock to be designated Common Stock and Preferred Stock. The Corporation is</w:t>
      </w:r>
    </w:p>
    <w:p>
      <w:pPr>
        <w:spacing w:after="0" w:line="2" w:lineRule="exact"/>
        <w:rPr>
          <w:sz w:val="20"/>
          <w:szCs w:val="20"/>
          <w:color w:val="auto"/>
        </w:rPr>
      </w:pPr>
    </w:p>
    <w:p>
      <w:pPr>
        <w:ind w:left="390" w:right="40"/>
        <w:spacing w:after="0" w:line="226" w:lineRule="auto"/>
        <w:rPr>
          <w:sz w:val="20"/>
          <w:szCs w:val="20"/>
          <w:color w:val="auto"/>
        </w:rPr>
      </w:pPr>
      <w:r>
        <w:rPr>
          <w:rFonts w:ascii="Times New Roman" w:cs="Times New Roman" w:eastAsia="Times New Roman" w:hAnsi="Times New Roman"/>
          <w:sz w:val="18"/>
          <w:szCs w:val="18"/>
          <w:color w:val="auto"/>
        </w:rPr>
        <w:t>authorized to issue 75,000,000 shares of Common Stock, with a par value of $0.001 per share, and 5,000,000 shares of Preferred Stock, with a par value of $0.01 per share.</w:t>
      </w:r>
    </w:p>
    <w:p>
      <w:pPr>
        <w:spacing w:after="0" w:line="45" w:lineRule="exact"/>
        <w:rPr>
          <w:sz w:val="20"/>
          <w:szCs w:val="20"/>
          <w:color w:val="auto"/>
        </w:rPr>
      </w:pPr>
    </w:p>
    <w:p>
      <w:pPr>
        <w:ind w:left="390" w:right="420"/>
        <w:spacing w:after="0" w:line="238" w:lineRule="auto"/>
        <w:rPr>
          <w:sz w:val="20"/>
          <w:szCs w:val="20"/>
          <w:color w:val="auto"/>
        </w:rPr>
      </w:pPr>
      <w:r>
        <w:rPr>
          <w:rFonts w:ascii="Times New Roman" w:cs="Times New Roman" w:eastAsia="Times New Roman" w:hAnsi="Times New Roman"/>
          <w:sz w:val="17"/>
          <w:szCs w:val="17"/>
          <w:color w:val="auto"/>
        </w:rPr>
        <w:t>Upon the effectiveness of the filing of this Certificate of Amendment (the “</w:t>
      </w:r>
      <w:r>
        <w:rPr>
          <w:rFonts w:ascii="Times New Roman" w:cs="Times New Roman" w:eastAsia="Times New Roman" w:hAnsi="Times New Roman"/>
          <w:sz w:val="17"/>
          <w:szCs w:val="17"/>
          <w:b w:val="1"/>
          <w:bCs w:val="1"/>
          <w:color w:val="auto"/>
        </w:rPr>
        <w:t>2026 Split Effective Time</w:t>
      </w:r>
      <w:r>
        <w:rPr>
          <w:rFonts w:ascii="Times New Roman" w:cs="Times New Roman" w:eastAsia="Times New Roman" w:hAnsi="Times New Roman"/>
          <w:sz w:val="17"/>
          <w:szCs w:val="17"/>
          <w:color w:val="auto"/>
        </w:rPr>
        <w:t>”), every [ ] shares of Common Stock issued and outstanding or held by the Corporation as treasury shares as of the 2026 Split Effective Time shall automatically, and without any</w:t>
      </w:r>
    </w:p>
    <w:p>
      <w:pPr>
        <w:spacing w:after="0" w:line="1" w:lineRule="exact"/>
        <w:rPr>
          <w:sz w:val="20"/>
          <w:szCs w:val="20"/>
          <w:color w:val="auto"/>
        </w:rPr>
      </w:pPr>
    </w:p>
    <w:p>
      <w:pPr>
        <w:ind w:left="390" w:right="400"/>
        <w:spacing w:after="0" w:line="233" w:lineRule="auto"/>
        <w:rPr>
          <w:sz w:val="20"/>
          <w:szCs w:val="20"/>
          <w:color w:val="auto"/>
        </w:rPr>
      </w:pPr>
      <w:r>
        <w:rPr>
          <w:rFonts w:ascii="Times New Roman" w:cs="Times New Roman" w:eastAsia="Times New Roman" w:hAnsi="Times New Roman"/>
          <w:sz w:val="18"/>
          <w:szCs w:val="18"/>
          <w:color w:val="auto"/>
        </w:rPr>
        <w:t>further action on the part of the stockholders, be reclassified as one (1) validly issued, fully paid and non-assessable share of Common Stock, without effecting a change to the par value per share of Common Stock (the “</w:t>
      </w:r>
      <w:r>
        <w:rPr>
          <w:rFonts w:ascii="Times New Roman" w:cs="Times New Roman" w:eastAsia="Times New Roman" w:hAnsi="Times New Roman"/>
          <w:sz w:val="18"/>
          <w:szCs w:val="18"/>
          <w:b w:val="1"/>
          <w:bCs w:val="1"/>
          <w:color w:val="auto"/>
        </w:rPr>
        <w:t>2026 Reverse Split</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ind w:left="390" w:right="100"/>
        <w:spacing w:after="0" w:line="236" w:lineRule="auto"/>
        <w:rPr>
          <w:sz w:val="20"/>
          <w:szCs w:val="20"/>
          <w:color w:val="auto"/>
        </w:rPr>
      </w:pPr>
      <w:r>
        <w:rPr>
          <w:rFonts w:ascii="Times New Roman" w:cs="Times New Roman" w:eastAsia="Times New Roman" w:hAnsi="Times New Roman"/>
          <w:sz w:val="18"/>
          <w:szCs w:val="18"/>
          <w:color w:val="auto"/>
        </w:rPr>
        <w:t>The 2026 Reverse Split shall be effected on a record holder-by-record holder (“Participant Holder”) basis, such that any fractional shares of post-2026 Reverse Split Common Stock resulting from the 2026 Reverse Split and held by a single Participant Holder shall be aggregated. No fractional shares of Common Stock shall be issued as a result of the 2026 Reverse Stock Split.</w:t>
      </w:r>
    </w:p>
    <w:p>
      <w:pPr>
        <w:spacing w:after="0" w:line="37" w:lineRule="exact"/>
        <w:rPr>
          <w:sz w:val="20"/>
          <w:szCs w:val="20"/>
          <w:color w:val="auto"/>
        </w:rPr>
      </w:pPr>
    </w:p>
    <w:p>
      <w:pPr>
        <w:ind w:left="390" w:right="60"/>
        <w:spacing w:after="0" w:line="244" w:lineRule="auto"/>
        <w:rPr>
          <w:sz w:val="20"/>
          <w:szCs w:val="20"/>
          <w:color w:val="auto"/>
        </w:rPr>
      </w:pPr>
      <w:r>
        <w:rPr>
          <w:rFonts w:ascii="Times New Roman" w:cs="Times New Roman" w:eastAsia="Times New Roman" w:hAnsi="Times New Roman"/>
          <w:sz w:val="17"/>
          <w:szCs w:val="17"/>
          <w:color w:val="auto"/>
        </w:rPr>
        <w:t>In lieu thereof, (i) with respect to Participant Holders of one or more certificates which formerly represented shares of Common Stock that were issued and outstanding immediately prior to the 2026 Split Effective Time, any Participant Holder who would otherwise be entitled to a fractional</w:t>
      </w:r>
    </w:p>
    <w:p>
      <w:pPr>
        <w:spacing w:after="0" w:line="1" w:lineRule="exact"/>
        <w:rPr>
          <w:sz w:val="20"/>
          <w:szCs w:val="20"/>
          <w:color w:val="auto"/>
        </w:rPr>
      </w:pPr>
    </w:p>
    <w:p>
      <w:pPr>
        <w:ind w:left="390" w:right="260"/>
        <w:spacing w:after="0" w:line="211" w:lineRule="auto"/>
        <w:rPr>
          <w:sz w:val="20"/>
          <w:szCs w:val="20"/>
          <w:color w:val="auto"/>
        </w:rPr>
      </w:pPr>
      <w:r>
        <w:rPr>
          <w:rFonts w:ascii="Times New Roman" w:cs="Times New Roman" w:eastAsia="Times New Roman" w:hAnsi="Times New Roman"/>
          <w:sz w:val="18"/>
          <w:szCs w:val="18"/>
          <w:color w:val="auto"/>
        </w:rPr>
        <w:t>share of Common Stock as a result of the 2026 Reverse Stock Split, following the 2026 Split Effective Time, shall be entitled to receive a cash payment (the “Fractional Share Payment”) equal to the fraction of which such Participant Holder would otherwise be entitled multiplied by the</w:t>
      </w:r>
    </w:p>
    <w:p>
      <w:pPr>
        <w:spacing w:after="0" w:line="1" w:lineRule="exact"/>
        <w:rPr>
          <w:sz w:val="20"/>
          <w:szCs w:val="20"/>
          <w:color w:val="auto"/>
        </w:rPr>
      </w:pPr>
    </w:p>
    <w:p>
      <w:pPr>
        <w:ind w:left="390"/>
        <w:spacing w:after="0" w:line="211" w:lineRule="auto"/>
        <w:rPr>
          <w:sz w:val="20"/>
          <w:szCs w:val="20"/>
          <w:color w:val="auto"/>
        </w:rPr>
      </w:pPr>
      <w:r>
        <w:rPr>
          <w:rFonts w:ascii="Times New Roman" w:cs="Times New Roman" w:eastAsia="Times New Roman" w:hAnsi="Times New Roman"/>
          <w:sz w:val="18"/>
          <w:szCs w:val="18"/>
          <w:color w:val="auto"/>
        </w:rPr>
        <w:t>closing price per share as reported by The Nasdaq Stock Market LLC (as adjusted to give effect to the Reverse Stock Split) on the date of the 2026 Split Effective Time automatically and without any action by the Participant Holder; and (ii) with respect to Participant Holders of shares of</w:t>
      </w:r>
    </w:p>
    <w:p>
      <w:pPr>
        <w:ind w:left="390"/>
        <w:spacing w:after="0" w:line="219" w:lineRule="auto"/>
        <w:rPr>
          <w:sz w:val="20"/>
          <w:szCs w:val="20"/>
          <w:color w:val="auto"/>
        </w:rPr>
      </w:pPr>
      <w:r>
        <w:rPr>
          <w:rFonts w:ascii="Times New Roman" w:cs="Times New Roman" w:eastAsia="Times New Roman" w:hAnsi="Times New Roman"/>
          <w:sz w:val="18"/>
          <w:szCs w:val="18"/>
          <w:color w:val="auto"/>
        </w:rPr>
        <w:t>Common Stock in book-entry form in the records of the Company’s transfer agent that were issued and outstanding immediately prior to the 2026</w:t>
      </w:r>
    </w:p>
    <w:p>
      <w:pPr>
        <w:spacing w:after="0" w:line="1" w:lineRule="exact"/>
        <w:rPr>
          <w:sz w:val="20"/>
          <w:szCs w:val="20"/>
          <w:color w:val="auto"/>
        </w:rPr>
      </w:pPr>
    </w:p>
    <w:p>
      <w:pPr>
        <w:ind w:left="390" w:right="100"/>
        <w:spacing w:after="0" w:line="223" w:lineRule="auto"/>
        <w:rPr>
          <w:sz w:val="20"/>
          <w:szCs w:val="20"/>
          <w:color w:val="auto"/>
        </w:rPr>
      </w:pPr>
      <w:r>
        <w:rPr>
          <w:rFonts w:ascii="Times New Roman" w:cs="Times New Roman" w:eastAsia="Times New Roman" w:hAnsi="Times New Roman"/>
          <w:sz w:val="17"/>
          <w:szCs w:val="17"/>
          <w:color w:val="auto"/>
        </w:rPr>
        <w:t>Split Effective Time, any Participant Holder who would otherwise be entitled to a fractional share of Common Stock as a result of the 2026 Reverse Stock Split, following the 2026 Split Effective Time, shall be entitled to receive the Fractional Share Payment automatically and without</w:t>
      </w:r>
    </w:p>
    <w:p>
      <w:pPr>
        <w:spacing w:after="0" w:line="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8"/>
          <w:szCs w:val="18"/>
          <w:color w:val="auto"/>
        </w:rPr>
        <w:t>any action by the Participant Holder.”</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7"/>
                <w:szCs w:val="17"/>
                <w:color w:val="auto"/>
              </w:rPr>
              <w:t>This Certificate of Amendment shall become effective at 12:01 a.m., Eastern Time, 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7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 _ * _ * _ *</w:t>
      </w:r>
    </w:p>
    <w:p>
      <w:pPr>
        <w:spacing w:after="0" w:line="200" w:lineRule="exact"/>
        <w:rPr>
          <w:sz w:val="20"/>
          <w:szCs w:val="20"/>
          <w:color w:val="auto"/>
        </w:rPr>
      </w:pPr>
    </w:p>
    <w:p>
      <w:pPr>
        <w:spacing w:after="0" w:line="367" w:lineRule="exact"/>
        <w:rPr>
          <w:sz w:val="20"/>
          <w:szCs w:val="20"/>
          <w:color w:val="auto"/>
        </w:rPr>
      </w:pPr>
    </w:p>
    <w:p>
      <w:pPr>
        <w:ind w:left="571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350520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0"/>
          </w:cols>
          <w:pgMar w:left="470" w:top="104" w:right="47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authorized officer of the Corporation has executed this Certificate of Amendment to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as of, 2026.</w:t>
      </w:r>
    </w:p>
    <w:p>
      <w:pPr>
        <w:spacing w:after="0" w:line="1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AQUABOUNTY TECHNOLOGIES, INC.</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ind w:left="5940"/>
        <w:spacing w:after="0" w:line="237" w:lineRule="auto"/>
        <w:rPr>
          <w:sz w:val="20"/>
          <w:szCs w:val="20"/>
          <w:color w:val="auto"/>
        </w:rPr>
      </w:pPr>
      <w:r>
        <w:rPr>
          <w:rFonts w:ascii="Times New Roman" w:cs="Times New Roman" w:eastAsia="Times New Roman" w:hAnsi="Times New Roman"/>
          <w:sz w:val="18"/>
          <w:szCs w:val="18"/>
          <w:color w:val="auto"/>
        </w:rPr>
        <w:t>Name: David Frank</w:t>
      </w: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16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80" w:top="414" w:right="1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79895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350520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234950</wp:posOffset>
            </wp:positionV>
            <wp:extent cx="6172200" cy="7989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46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
      <w:numFmt w:val="bullet"/>
      <w:start w:val="1"/>
    </w:lvl>
  </w:abstractNum>
  <w:abstractNum w:abstractNumId="4">
    <w:nsid w:val="4E6AFB66"/>
    <w:multiLevelType w:val="hybridMultilevel"/>
    <w:lvl w:ilvl="0">
      <w:lvlJc w:val="left"/>
      <w:lvlText w:val=" "/>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 "/>
      <w:numFmt w:val="bullet"/>
      <w:start w:val="1"/>
    </w:lvl>
  </w:abstractNum>
  <w:abstractNum w:abstractNumId="8">
    <w:nsid w:val="3F2DBA31"/>
    <w:multiLevelType w:val="hybridMultilevel"/>
    <w:lvl w:ilvl="0">
      <w:lvlJc w:val="left"/>
      <w:lvlText w:val=" "/>
      <w:numFmt w:val="bullet"/>
      <w:start w:val="1"/>
    </w:lvl>
  </w:abstractNum>
  <w:abstractNum w:abstractNumId="9">
    <w:nsid w:val="7C83E458"/>
    <w:multiLevelType w:val="hybridMultilevel"/>
    <w:lvl w:ilvl="0">
      <w:lvlJc w:val="left"/>
      <w:lvlText w:val=" "/>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Roman"/>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3"/>
    </w:lvl>
    <w:lvl w:ilvl="1">
      <w:lvlJc w:val="left"/>
      <w:lvlText w:val=" "/>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
      <w:numFmt w:val="bullet"/>
      <w:start w:val="1"/>
    </w:lvl>
  </w:abstractNum>
  <w:abstractNum w:abstractNumId="25">
    <w:nsid w:val="54E49EB4"/>
    <w:multiLevelType w:val="hybridMultilevel"/>
    <w:lvl w:ilvl="0">
      <w:lvlJc w:val="left"/>
      <w:lvlText w:val=" "/>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2026-05-01T11:02:47Z</dcterms:created>
  <dcterms:modified xsi:type="dcterms:W3CDTF">2026-05-01T11:02:47Z</dcterms:modified>
</cp:coreProperties>
</file>