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AquaBounty Technologies, Inc.</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7"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322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001-36426</w:t>
            </w:r>
          </w:p>
        </w:tc>
        <w:tc>
          <w:tcPr>
            <w:tcW w:w="2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04-3156167</w:t>
            </w:r>
          </w:p>
        </w:tc>
      </w:tr>
      <w:tr>
        <w:trPr>
          <w:trHeight w:val="203"/>
        </w:trPr>
        <w:tc>
          <w:tcPr>
            <w:tcW w:w="3220" w:type="dxa"/>
            <w:vAlign w:val="bottom"/>
          </w:tcPr>
          <w:p>
            <w:pPr>
              <w:jc w:val="center"/>
              <w:ind w:right="1230"/>
              <w:spacing w:after="0" w:line="20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7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800" w:type="dxa"/>
            <w:vAlign w:val="bottom"/>
            <w:gridSpan w:val="2"/>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2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4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8"/>
              </w:rPr>
              <w:t>Identification‎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19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233 Ayer Road, Suite 4, Harvard, Massachusetts</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01451</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978-648-6000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Wingdings" w:cs="Wingdings" w:eastAsia="Wingdings" w:hAnsi="Wingdings"/>
          <w:sz w:val="18"/>
          <w:szCs w:val="18"/>
          <w:b w:val="1"/>
          <w:bCs w:val="1"/>
          <w:color w:val="auto"/>
        </w:rPr>
      </w:pP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16"/>
        </w:trPr>
        <w:tc>
          <w:tcPr>
            <w:tcW w:w="4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183"/>
        </w:trPr>
        <w:tc>
          <w:tcPr>
            <w:tcW w:w="4260" w:type="dxa"/>
            <w:vAlign w:val="bottom"/>
            <w:tcBorders>
              <w:left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Trading Symbol(s)</w:t>
            </w:r>
          </w:p>
        </w:tc>
        <w:tc>
          <w:tcPr>
            <w:tcW w:w="4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83"/>
        </w:trPr>
        <w:tc>
          <w:tcPr>
            <w:tcW w:w="4260" w:type="dxa"/>
            <w:vAlign w:val="bottom"/>
            <w:tcBorders>
              <w:left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76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AQB</w:t>
            </w:r>
          </w:p>
        </w:tc>
        <w:tc>
          <w:tcPr>
            <w:tcW w:w="42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On June 23, 2026, AquaBounty Technologies, Inc. (the “Company”) held its Annual Meeting of Stockholders (“Annual Meeting”) to consider and vote on the five proposals set forth below, each of which is described in greater detail in the Company’s definitive proxy statement filed with the Securities and Exchange Commission on May 1, 2026. As of the April 24, 2026 record date for the Annual Meeting, there were 5,147,204 shares of Common Stock and 263,753 shares of Series A Preferred Stock issued and outstanding. Each share of Common Stock was entitled to one vote on the matters to be considered at the Annual Meeting and each share of Series A Preferred Stock was entitled to twenty votes on the matters to be considered at the Annual Meeting. The total number of votes entitled to be cast at the Annual Meeting was 10,422,264.</w:t>
      </w:r>
    </w:p>
    <w:p>
      <w:pPr>
        <w:spacing w:after="0" w:line="144"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color w:val="auto"/>
        </w:rPr>
        <w:t>Shares of the Company’s capital stock representing a total of 7,903,525 votes were present or represented by proxy at the Annual Meeting, representing approximately 75.8% of the Company’s total number of votes entitled to be cast as of record date. The final voting results are set forth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Directors</w:t>
      </w:r>
    </w:p>
    <w:p>
      <w:pPr>
        <w:spacing w:after="0" w:line="17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stockholders elected each person named below to serve as a director on the Board of Directors of the Company (the “Board”) for a one-year term of office until the next Annual Meeting, with each director to hold office until his or her successor is duly elected and qualified or until his or her earlier resignation or removal. The results of such vote were as follows:</w:t>
      </w:r>
    </w:p>
    <w:p>
      <w:pPr>
        <w:spacing w:after="0" w:line="169" w:lineRule="exact"/>
        <w:rPr>
          <w:sz w:val="20"/>
          <w:szCs w:val="20"/>
          <w:color w:val="auto"/>
        </w:rPr>
      </w:pPr>
    </w:p>
    <w:tbl>
      <w:tblPr>
        <w:tblLayout w:type="fixed"/>
        <w:tblInd w:w="7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jc w:val="right"/>
              <w:ind w:right="70"/>
              <w:spacing w:after="0" w:line="167" w:lineRule="exact"/>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183"/>
        </w:trPr>
        <w:tc>
          <w:tcPr>
            <w:tcW w:w="20" w:type="dxa"/>
            <w:vAlign w:val="bottom"/>
          </w:tcPr>
          <w:p>
            <w:pPr>
              <w:spacing w:after="0"/>
              <w:rPr>
                <w:sz w:val="15"/>
                <w:szCs w:val="15"/>
                <w:color w:val="auto"/>
              </w:rPr>
            </w:pPr>
          </w:p>
        </w:tc>
        <w:tc>
          <w:tcPr>
            <w:tcW w:w="53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Graydon Bensler</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6,877,654</w:t>
            </w:r>
          </w:p>
        </w:tc>
        <w:tc>
          <w:tcPr>
            <w:tcW w:w="1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88,899</w:t>
            </w:r>
          </w:p>
        </w:tc>
        <w:tc>
          <w:tcPr>
            <w:tcW w:w="1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936,972</w:t>
            </w:r>
          </w:p>
        </w:tc>
      </w:tr>
      <w:tr>
        <w:trPr>
          <w:trHeight w:val="189"/>
        </w:trPr>
        <w:tc>
          <w:tcPr>
            <w:tcW w:w="20" w:type="dxa"/>
            <w:vAlign w:val="bottom"/>
          </w:tcPr>
          <w:p>
            <w:pPr>
              <w:spacing w:after="0"/>
              <w:rPr>
                <w:sz w:val="16"/>
                <w:szCs w:val="16"/>
                <w:color w:val="auto"/>
              </w:rPr>
            </w:pPr>
          </w:p>
        </w:tc>
        <w:tc>
          <w:tcPr>
            <w:tcW w:w="54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Braeden Lichti</w:t>
            </w:r>
          </w:p>
        </w:tc>
        <w:tc>
          <w:tcPr>
            <w:tcW w:w="12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6,936,626</w:t>
            </w:r>
          </w:p>
        </w:tc>
        <w:tc>
          <w:tcPr>
            <w:tcW w:w="160" w:type="dxa"/>
            <w:vAlign w:val="bottom"/>
          </w:tcPr>
          <w:p>
            <w:pPr>
              <w:spacing w:after="0"/>
              <w:rPr>
                <w:sz w:val="16"/>
                <w:szCs w:val="16"/>
                <w:color w:val="auto"/>
              </w:rPr>
            </w:pPr>
          </w:p>
        </w:tc>
        <w:tc>
          <w:tcPr>
            <w:tcW w:w="154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29,927</w:t>
            </w:r>
          </w:p>
        </w:tc>
        <w:tc>
          <w:tcPr>
            <w:tcW w:w="160" w:type="dxa"/>
            <w:vAlign w:val="bottom"/>
          </w:tcPr>
          <w:p>
            <w:pPr>
              <w:spacing w:after="0"/>
              <w:rPr>
                <w:sz w:val="16"/>
                <w:szCs w:val="16"/>
                <w:color w:val="auto"/>
              </w:rPr>
            </w:pPr>
          </w:p>
        </w:tc>
        <w:tc>
          <w:tcPr>
            <w:tcW w:w="126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936,972</w:t>
            </w:r>
          </w:p>
        </w:tc>
      </w:tr>
      <w:tr>
        <w:trPr>
          <w:trHeight w:val="189"/>
        </w:trPr>
        <w:tc>
          <w:tcPr>
            <w:tcW w:w="20" w:type="dxa"/>
            <w:vAlign w:val="bottom"/>
          </w:tcPr>
          <w:p>
            <w:pPr>
              <w:spacing w:after="0"/>
              <w:rPr>
                <w:sz w:val="16"/>
                <w:szCs w:val="16"/>
                <w:color w:val="auto"/>
              </w:rPr>
            </w:pPr>
          </w:p>
        </w:tc>
        <w:tc>
          <w:tcPr>
            <w:tcW w:w="5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Rick Sterling</w:t>
            </w:r>
          </w:p>
        </w:tc>
        <w:tc>
          <w:tcPr>
            <w:tcW w:w="1240" w:type="dxa"/>
            <w:vAlign w:val="bottom"/>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6,822,911</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143,642</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936,972</w:t>
            </w:r>
          </w:p>
        </w:tc>
      </w:tr>
      <w:tr>
        <w:trPr>
          <w:trHeight w:val="189"/>
        </w:trPr>
        <w:tc>
          <w:tcPr>
            <w:tcW w:w="20" w:type="dxa"/>
            <w:vAlign w:val="bottom"/>
          </w:tcPr>
          <w:p>
            <w:pPr>
              <w:spacing w:after="0"/>
              <w:rPr>
                <w:sz w:val="16"/>
                <w:szCs w:val="16"/>
                <w:color w:val="auto"/>
              </w:rPr>
            </w:pPr>
          </w:p>
        </w:tc>
        <w:tc>
          <w:tcPr>
            <w:tcW w:w="540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Sylvia A. Wulf</w:t>
            </w:r>
          </w:p>
        </w:tc>
        <w:tc>
          <w:tcPr>
            <w:tcW w:w="1240" w:type="dxa"/>
            <w:vAlign w:val="bottom"/>
            <w:tcBorders>
              <w:bottom w:val="single" w:sz="8" w:color="auto"/>
            </w:tcBorders>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6,932,565</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33,988</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936,972</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Independent Registered Public Accounting Firm</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fiscal year ending December 31, 2026. The results of such vote were as follows:</w:t>
      </w:r>
    </w:p>
    <w:p>
      <w:pPr>
        <w:spacing w:after="0" w:line="307" w:lineRule="exact"/>
        <w:rPr>
          <w:sz w:val="20"/>
          <w:szCs w:val="20"/>
          <w:color w:val="auto"/>
        </w:rPr>
      </w:pPr>
    </w:p>
    <w:tbl>
      <w:tblPr>
        <w:tblLayout w:type="fixed"/>
        <w:tblInd w:w="1240" w:type="dxa"/>
        <w:tblCellMar>
          <w:top w:w="0" w:type="dxa"/>
          <w:left w:w="0" w:type="dxa"/>
          <w:bottom w:w="0" w:type="dxa"/>
          <w:right w:w="0" w:type="dxa"/>
        </w:tblCellMar>
      </w:tblPr>
      <w:tr>
        <w:trPr>
          <w:trHeight w:val="245"/>
        </w:trPr>
        <w:tc>
          <w:tcPr>
            <w:tcW w:w="100" w:type="dxa"/>
            <w:vAlign w:val="bottom"/>
            <w:tcBorders>
              <w:bottom w:val="single" w:sz="8" w:color="CCEEFF"/>
            </w:tcBorders>
          </w:tcPr>
          <w:p>
            <w:pPr>
              <w:spacing w:after="0"/>
              <w:rPr>
                <w:sz w:val="21"/>
                <w:szCs w:val="21"/>
                <w:color w:val="auto"/>
              </w:rPr>
            </w:pPr>
          </w:p>
        </w:tc>
        <w:tc>
          <w:tcPr>
            <w:tcW w:w="209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9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89"/>
        </w:trPr>
        <w:tc>
          <w:tcPr>
            <w:tcW w:w="100" w:type="dxa"/>
            <w:vAlign w:val="bottom"/>
            <w:shd w:val="clear" w:color="auto" w:fill="CCEEFF"/>
          </w:tcPr>
          <w:p>
            <w:pPr>
              <w:spacing w:after="0"/>
              <w:rPr>
                <w:sz w:val="16"/>
                <w:szCs w:val="16"/>
                <w:color w:val="auto"/>
              </w:rPr>
            </w:pPr>
          </w:p>
        </w:tc>
        <w:tc>
          <w:tcPr>
            <w:tcW w:w="2090" w:type="dxa"/>
            <w:vAlign w:val="bottom"/>
            <w:tcBorders>
              <w:bottom w:val="single" w:sz="8" w:color="auto"/>
            </w:tcBorders>
            <w:shd w:val="clear" w:color="auto" w:fill="CCEEFF"/>
          </w:tcPr>
          <w:p>
            <w:pPr>
              <w:ind w:left="660"/>
              <w:spacing w:after="0" w:line="189" w:lineRule="exact"/>
              <w:rPr>
                <w:sz w:val="20"/>
                <w:szCs w:val="20"/>
                <w:color w:val="auto"/>
              </w:rPr>
            </w:pPr>
            <w:r>
              <w:rPr>
                <w:rFonts w:ascii="Times New Roman" w:cs="Times New Roman" w:eastAsia="Times New Roman" w:hAnsi="Times New Roman"/>
                <w:sz w:val="18"/>
                <w:szCs w:val="18"/>
                <w:color w:val="auto"/>
              </w:rPr>
              <w:t>7,728,776</w:t>
            </w:r>
          </w:p>
        </w:tc>
        <w:tc>
          <w:tcPr>
            <w:tcW w:w="2320" w:type="dxa"/>
            <w:vAlign w:val="bottom"/>
            <w:tcBorders>
              <w:bottom w:val="single" w:sz="8" w:color="auto"/>
            </w:tcBorders>
            <w:shd w:val="clear" w:color="auto" w:fill="CCEEFF"/>
          </w:tcPr>
          <w:p>
            <w:pPr>
              <w:jc w:val="right"/>
              <w:ind w:right="780"/>
              <w:spacing w:after="0" w:line="189" w:lineRule="exact"/>
              <w:rPr>
                <w:sz w:val="20"/>
                <w:szCs w:val="20"/>
                <w:color w:val="auto"/>
              </w:rPr>
            </w:pPr>
            <w:r>
              <w:rPr>
                <w:rFonts w:ascii="Times New Roman" w:cs="Times New Roman" w:eastAsia="Times New Roman" w:hAnsi="Times New Roman"/>
                <w:sz w:val="18"/>
                <w:szCs w:val="18"/>
                <w:color w:val="auto"/>
              </w:rPr>
              <w:t>167,151</w:t>
            </w:r>
          </w:p>
        </w:tc>
        <w:tc>
          <w:tcPr>
            <w:tcW w:w="2160" w:type="dxa"/>
            <w:vAlign w:val="bottom"/>
            <w:tcBorders>
              <w:bottom w:val="single" w:sz="8" w:color="auto"/>
            </w:tcBorders>
            <w:shd w:val="clear" w:color="auto" w:fill="CCEEFF"/>
          </w:tcPr>
          <w:p>
            <w:pPr>
              <w:jc w:val="right"/>
              <w:ind w:right="760"/>
              <w:spacing w:after="0" w:line="189" w:lineRule="exact"/>
              <w:rPr>
                <w:sz w:val="20"/>
                <w:szCs w:val="20"/>
                <w:color w:val="auto"/>
              </w:rPr>
            </w:pPr>
            <w:r>
              <w:rPr>
                <w:rFonts w:ascii="Times New Roman" w:cs="Times New Roman" w:eastAsia="Times New Roman" w:hAnsi="Times New Roman"/>
                <w:sz w:val="18"/>
                <w:szCs w:val="18"/>
                <w:color w:val="auto"/>
              </w:rPr>
              <w:t>7,598</w:t>
            </w:r>
          </w:p>
        </w:tc>
        <w:tc>
          <w:tcPr>
            <w:tcW w:w="2090" w:type="dxa"/>
            <w:vAlign w:val="bottom"/>
            <w:tcBorders>
              <w:bottom w:val="single" w:sz="8" w:color="auto"/>
            </w:tcBorders>
            <w:shd w:val="clear" w:color="auto" w:fill="CCEEFF"/>
          </w:tcPr>
          <w:p>
            <w:pPr>
              <w:jc w:val="right"/>
              <w:ind w:right="910"/>
              <w:spacing w:after="0" w:line="189" w:lineRule="exact"/>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Approval of an Amendment to the Certificate of Incorporation, to Approve a Reverse Stock Split</w:t>
      </w:r>
    </w:p>
    <w:p>
      <w:pPr>
        <w:spacing w:after="0" w:line="21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The stockholders approved the amendment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granting the Company’s Board the discretion to effect a reverse stock split at a ratio ranging from 1-for-5 to 1-for-20, inclusive, with such ratio and the timing of the reverse stock split, if any, to be determined by the Board in its sole discretion (but in no event later than July 31, 2026). The results of such vote were as follows:</w:t>
      </w:r>
    </w:p>
    <w:p>
      <w:pPr>
        <w:spacing w:after="0" w:line="318" w:lineRule="exact"/>
        <w:rPr>
          <w:sz w:val="20"/>
          <w:szCs w:val="20"/>
          <w:color w:val="auto"/>
        </w:rPr>
      </w:pPr>
    </w:p>
    <w:tbl>
      <w:tblPr>
        <w:tblLayout w:type="fixed"/>
        <w:tblInd w:w="1240" w:type="dxa"/>
        <w:tblCellMar>
          <w:top w:w="0" w:type="dxa"/>
          <w:left w:w="0" w:type="dxa"/>
          <w:bottom w:w="0" w:type="dxa"/>
          <w:right w:w="0" w:type="dxa"/>
        </w:tblCellMar>
      </w:tblPr>
      <w:tr>
        <w:trPr>
          <w:trHeight w:val="225"/>
        </w:trPr>
        <w:tc>
          <w:tcPr>
            <w:tcW w:w="100" w:type="dxa"/>
            <w:vAlign w:val="bottom"/>
          </w:tcPr>
          <w:p>
            <w:pPr>
              <w:spacing w:after="0"/>
              <w:rPr>
                <w:sz w:val="19"/>
                <w:szCs w:val="19"/>
                <w:color w:val="auto"/>
              </w:rPr>
            </w:pPr>
          </w:p>
        </w:tc>
        <w:tc>
          <w:tcPr>
            <w:tcW w:w="2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0" w:type="dxa"/>
            <w:vAlign w:val="bottom"/>
          </w:tcPr>
          <w:p>
            <w:pPr>
              <w:spacing w:after="0"/>
              <w:rPr>
                <w:sz w:val="19"/>
                <w:szCs w:val="19"/>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0"/>
        </w:trPr>
        <w:tc>
          <w:tcPr>
            <w:tcW w:w="100" w:type="dxa"/>
            <w:vAlign w:val="bottom"/>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ind w:left="660"/>
              <w:spacing w:after="0" w:line="170" w:lineRule="exact"/>
              <w:rPr>
                <w:sz w:val="20"/>
                <w:szCs w:val="20"/>
                <w:color w:val="auto"/>
              </w:rPr>
            </w:pPr>
            <w:r>
              <w:rPr>
                <w:rFonts w:ascii="Times New Roman" w:cs="Times New Roman" w:eastAsia="Times New Roman" w:hAnsi="Times New Roman"/>
                <w:sz w:val="18"/>
                <w:szCs w:val="18"/>
                <w:color w:val="auto"/>
              </w:rPr>
              <w:t>7,439,977</w:t>
            </w:r>
          </w:p>
        </w:tc>
        <w:tc>
          <w:tcPr>
            <w:tcW w:w="1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ind w:right="710"/>
              <w:spacing w:after="0" w:line="170" w:lineRule="exact"/>
              <w:rPr>
                <w:sz w:val="20"/>
                <w:szCs w:val="20"/>
                <w:color w:val="auto"/>
              </w:rPr>
            </w:pPr>
            <w:r>
              <w:rPr>
                <w:rFonts w:ascii="Times New Roman" w:cs="Times New Roman" w:eastAsia="Times New Roman" w:hAnsi="Times New Roman"/>
                <w:sz w:val="18"/>
                <w:szCs w:val="18"/>
                <w:color w:val="auto"/>
              </w:rPr>
              <w:t>453,736</w:t>
            </w:r>
          </w:p>
        </w:tc>
        <w:tc>
          <w:tcPr>
            <w:tcW w:w="14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ind w:right="750"/>
              <w:spacing w:after="0" w:line="170" w:lineRule="exact"/>
              <w:rPr>
                <w:sz w:val="20"/>
                <w:szCs w:val="20"/>
                <w:color w:val="auto"/>
              </w:rPr>
            </w:pPr>
            <w:r>
              <w:rPr>
                <w:rFonts w:ascii="Times New Roman" w:cs="Times New Roman" w:eastAsia="Times New Roman" w:hAnsi="Times New Roman"/>
                <w:sz w:val="18"/>
                <w:szCs w:val="18"/>
                <w:color w:val="auto"/>
              </w:rPr>
              <w:t>9,812</w:t>
            </w:r>
          </w:p>
        </w:tc>
        <w:tc>
          <w:tcPr>
            <w:tcW w:w="2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ind w:right="890"/>
              <w:spacing w:after="0" w:line="170"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shd w:val="clear" w:color="auto" w:fill="CCEEFF"/>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 – Non-Binding, Advisory Vote to Approve the Compensation of the Company’s Named Executive Officers</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stockholders approved, on a non-binding, advisory basis, the compensation paid to the Company’s named executive officers. The results of such vote were as follows:</w:t>
      </w:r>
    </w:p>
    <w:p>
      <w:pPr>
        <w:spacing w:after="0" w:line="131" w:lineRule="exact"/>
        <w:rPr>
          <w:sz w:val="20"/>
          <w:szCs w:val="20"/>
          <w:color w:val="auto"/>
        </w:rPr>
      </w:pPr>
    </w:p>
    <w:tbl>
      <w:tblPr>
        <w:tblLayout w:type="fixed"/>
        <w:tblInd w:w="1300" w:type="dxa"/>
        <w:tblCellMar>
          <w:top w:w="0" w:type="dxa"/>
          <w:left w:w="0" w:type="dxa"/>
          <w:bottom w:w="0" w:type="dxa"/>
          <w:right w:w="0" w:type="dxa"/>
        </w:tblCellMar>
      </w:tblPr>
      <w:tr>
        <w:trPr>
          <w:trHeight w:val="245"/>
        </w:trPr>
        <w:tc>
          <w:tcPr>
            <w:tcW w:w="80" w:type="dxa"/>
            <w:vAlign w:val="bottom"/>
            <w:tcBorders>
              <w:bottom w:val="single" w:sz="8" w:color="CCEEFF"/>
            </w:tcBorders>
          </w:tcPr>
          <w:p>
            <w:pPr>
              <w:spacing w:after="0"/>
              <w:rPr>
                <w:sz w:val="21"/>
                <w:szCs w:val="21"/>
                <w:color w:val="auto"/>
              </w:rPr>
            </w:pPr>
          </w:p>
        </w:tc>
        <w:tc>
          <w:tcPr>
            <w:tcW w:w="205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3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11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7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89"/>
        </w:trPr>
        <w:tc>
          <w:tcPr>
            <w:tcW w:w="80" w:type="dxa"/>
            <w:vAlign w:val="bottom"/>
            <w:shd w:val="clear" w:color="auto" w:fill="CCEEFF"/>
          </w:tcPr>
          <w:p>
            <w:pPr>
              <w:spacing w:after="0"/>
              <w:rPr>
                <w:sz w:val="16"/>
                <w:szCs w:val="16"/>
                <w:color w:val="auto"/>
              </w:rPr>
            </w:pPr>
          </w:p>
        </w:tc>
        <w:tc>
          <w:tcPr>
            <w:tcW w:w="2050" w:type="dxa"/>
            <w:vAlign w:val="bottom"/>
            <w:tcBorders>
              <w:bottom w:val="single" w:sz="8" w:color="auto"/>
            </w:tcBorders>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6,919,501</w:t>
            </w:r>
          </w:p>
        </w:tc>
        <w:tc>
          <w:tcPr>
            <w:tcW w:w="2330" w:type="dxa"/>
            <w:vAlign w:val="bottom"/>
            <w:tcBorders>
              <w:bottom w:val="single" w:sz="8" w:color="auto"/>
            </w:tcBorders>
            <w:shd w:val="clear" w:color="auto" w:fill="CCEEFF"/>
          </w:tcPr>
          <w:p>
            <w:pPr>
              <w:jc w:val="right"/>
              <w:ind w:right="830"/>
              <w:spacing w:after="0" w:line="189" w:lineRule="exact"/>
              <w:rPr>
                <w:sz w:val="20"/>
                <w:szCs w:val="20"/>
                <w:color w:val="auto"/>
              </w:rPr>
            </w:pPr>
            <w:r>
              <w:rPr>
                <w:rFonts w:ascii="Times New Roman" w:cs="Times New Roman" w:eastAsia="Times New Roman" w:hAnsi="Times New Roman"/>
                <w:sz w:val="18"/>
                <w:szCs w:val="18"/>
                <w:color w:val="auto"/>
              </w:rPr>
              <w:t>42,280</w:t>
            </w:r>
          </w:p>
        </w:tc>
        <w:tc>
          <w:tcPr>
            <w:tcW w:w="2110" w:type="dxa"/>
            <w:vAlign w:val="bottom"/>
            <w:tcBorders>
              <w:bottom w:val="single" w:sz="8" w:color="auto"/>
            </w:tcBorders>
            <w:shd w:val="clear" w:color="auto" w:fill="CCEEFF"/>
          </w:tcPr>
          <w:p>
            <w:pPr>
              <w:jc w:val="right"/>
              <w:ind w:right="740"/>
              <w:spacing w:after="0" w:line="189" w:lineRule="exact"/>
              <w:rPr>
                <w:sz w:val="20"/>
                <w:szCs w:val="20"/>
                <w:color w:val="auto"/>
              </w:rPr>
            </w:pPr>
            <w:r>
              <w:rPr>
                <w:rFonts w:ascii="Times New Roman" w:cs="Times New Roman" w:eastAsia="Times New Roman" w:hAnsi="Times New Roman"/>
                <w:sz w:val="18"/>
                <w:szCs w:val="18"/>
                <w:color w:val="auto"/>
              </w:rPr>
              <w:t>4,772</w:t>
            </w:r>
          </w:p>
        </w:tc>
        <w:tc>
          <w:tcPr>
            <w:tcW w:w="2070" w:type="dxa"/>
            <w:vAlign w:val="bottom"/>
            <w:tcBorders>
              <w:bottom w:val="single" w:sz="8" w:color="auto"/>
            </w:tcBorders>
            <w:shd w:val="clear" w:color="auto" w:fill="CCEEFF"/>
          </w:tcPr>
          <w:p>
            <w:pPr>
              <w:jc w:val="right"/>
              <w:ind w:right="650"/>
              <w:spacing w:after="0" w:line="189" w:lineRule="exact"/>
              <w:rPr>
                <w:sz w:val="20"/>
                <w:szCs w:val="20"/>
                <w:color w:val="auto"/>
              </w:rPr>
            </w:pPr>
            <w:r>
              <w:rPr>
                <w:rFonts w:ascii="Times New Roman" w:cs="Times New Roman" w:eastAsia="Times New Roman" w:hAnsi="Times New Roman"/>
                <w:sz w:val="18"/>
                <w:szCs w:val="18"/>
                <w:color w:val="auto"/>
              </w:rPr>
              <w:t>936,972</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5 – Approval of an Adjournment of the Meeting, if Necessary to Solicit Additional Votes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an adjournment to the meeting, which was not necessary. The results of such vote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3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7,679,072</w:t>
            </w:r>
          </w:p>
        </w:tc>
        <w:tc>
          <w:tcPr>
            <w:tcW w:w="2260" w:type="dxa"/>
            <w:vAlign w:val="bottom"/>
            <w:tcBorders>
              <w:bottom w:val="single" w:sz="8" w:color="auto"/>
            </w:tcBorders>
            <w:shd w:val="clear" w:color="auto" w:fill="CCEEFF"/>
          </w:tcPr>
          <w:p>
            <w:pPr>
              <w:jc w:val="right"/>
              <w:ind w:right="790"/>
              <w:spacing w:after="0" w:line="189" w:lineRule="exact"/>
              <w:rPr>
                <w:sz w:val="20"/>
                <w:szCs w:val="20"/>
                <w:color w:val="auto"/>
              </w:rPr>
            </w:pPr>
            <w:r>
              <w:rPr>
                <w:rFonts w:ascii="Times New Roman" w:cs="Times New Roman" w:eastAsia="Times New Roman" w:hAnsi="Times New Roman"/>
                <w:sz w:val="18"/>
                <w:szCs w:val="18"/>
                <w:color w:val="auto"/>
              </w:rPr>
              <w:t>219,411</w:t>
            </w:r>
          </w:p>
        </w:tc>
        <w:tc>
          <w:tcPr>
            <w:tcW w:w="2340" w:type="dxa"/>
            <w:vAlign w:val="bottom"/>
            <w:tcBorders>
              <w:bottom w:val="single" w:sz="8" w:color="auto"/>
            </w:tcBorders>
            <w:shd w:val="clear" w:color="auto" w:fill="CCEEFF"/>
          </w:tcPr>
          <w:p>
            <w:pPr>
              <w:jc w:val="right"/>
              <w:ind w:right="970"/>
              <w:spacing w:after="0" w:line="189" w:lineRule="exact"/>
              <w:rPr>
                <w:sz w:val="20"/>
                <w:szCs w:val="20"/>
                <w:color w:val="auto"/>
              </w:rPr>
            </w:pPr>
            <w:r>
              <w:rPr>
                <w:rFonts w:ascii="Times New Roman" w:cs="Times New Roman" w:eastAsia="Times New Roman" w:hAnsi="Times New Roman"/>
                <w:sz w:val="18"/>
                <w:szCs w:val="18"/>
                <w:color w:val="auto"/>
              </w:rPr>
              <w:t>5,042</w:t>
            </w:r>
          </w:p>
        </w:tc>
        <w:tc>
          <w:tcPr>
            <w:tcW w:w="1740" w:type="dxa"/>
            <w:vAlign w:val="bottom"/>
            <w:tcBorders>
              <w:bottom w:val="single" w:sz="8" w:color="auto"/>
            </w:tcBorders>
            <w:shd w:val="clear" w:color="auto" w:fill="CCEEFF"/>
          </w:tcPr>
          <w:p>
            <w:pPr>
              <w:jc w:val="right"/>
              <w:ind w:right="810"/>
              <w:spacing w:after="0" w:line="189"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8"/>
        </w:trPr>
        <w:tc>
          <w:tcPr>
            <w:tcW w:w="3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3"/>
        </w:trPr>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8890</wp:posOffset>
            </wp:positionV>
            <wp:extent cx="1586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ind w:left="8740"/>
        <w:spacing w:after="0"/>
        <w:rPr>
          <w:sz w:val="20"/>
          <w:szCs w:val="20"/>
          <w:color w:val="auto"/>
        </w:rPr>
      </w:pPr>
      <w:r>
        <w:rPr>
          <w:rFonts w:ascii="Times New Roman" w:cs="Times New Roman" w:eastAsia="Times New Roman" w:hAnsi="Times New Roman"/>
          <w:sz w:val="18"/>
          <w:szCs w:val="18"/>
          <w:color w:val="auto"/>
        </w:rPr>
        <w:t>(Registrant)</w:t>
      </w:r>
    </w:p>
    <w:p>
      <w:pPr>
        <w:spacing w:after="0" w:line="151" w:lineRule="exact"/>
        <w:rPr>
          <w:sz w:val="20"/>
          <w:szCs w:val="20"/>
          <w:color w:val="auto"/>
        </w:rPr>
      </w:pPr>
    </w:p>
    <w:p>
      <w:pPr>
        <w:ind w:left="8740" w:right="1120" w:hanging="8733"/>
        <w:spacing w:after="0" w:line="252" w:lineRule="auto"/>
        <w:tabs>
          <w:tab w:leader="none" w:pos="872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color w:val="auto"/>
        </w:rPr>
        <w:t>/s/ David A. Frank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-120015</wp:posOffset>
            </wp:positionV>
            <wp:extent cx="1586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ind w:left="8740"/>
        <w:spacing w:after="0" w:line="235" w:lineRule="auto"/>
        <w:rPr>
          <w:sz w:val="20"/>
          <w:szCs w:val="20"/>
          <w:color w:val="auto"/>
        </w:rPr>
      </w:pPr>
      <w:r>
        <w:rPr>
          <w:rFonts w:ascii="Times New Roman" w:cs="Times New Roman" w:eastAsia="Times New Roman" w:hAnsi="Times New Roman"/>
          <w:sz w:val="18"/>
          <w:szCs w:val="18"/>
          <w:color w:val="auto"/>
        </w:rPr>
        <w:t>Interim Chief Executive Officer,</w:t>
      </w:r>
    </w:p>
    <w:p>
      <w:pPr>
        <w:ind w:left="8740"/>
        <w:spacing w:after="0" w:line="220" w:lineRule="auto"/>
        <w:rPr>
          <w:sz w:val="20"/>
          <w:szCs w:val="20"/>
          <w:color w:val="auto"/>
        </w:rPr>
      </w:pPr>
      <w:r>
        <w:rPr>
          <w:rFonts w:ascii="Times New Roman" w:cs="Times New Roman" w:eastAsia="Times New Roman" w:hAnsi="Times New Roman"/>
          <w:sz w:val="18"/>
          <w:szCs w:val="18"/>
          <w:color w:val="auto"/>
        </w:rPr>
        <w:t>Chief Financial Officer and</w:t>
      </w:r>
    </w:p>
    <w:p>
      <w:pPr>
        <w:ind w:left="8740"/>
        <w:spacing w:after="0"/>
        <w:rPr>
          <w:sz w:val="20"/>
          <w:szCs w:val="20"/>
          <w:color w:val="auto"/>
        </w:rPr>
      </w:pPr>
      <w:r>
        <w:rPr>
          <w:rFonts w:ascii="Times New Roman" w:cs="Times New Roman" w:eastAsia="Times New Roman" w:hAnsi="Times New Roman"/>
          <w:sz w:val="18"/>
          <w:szCs w:val="18"/>
          <w:color w:val="auto"/>
        </w:rPr>
        <w:t>Treasurer</w:t>
      </w:r>
    </w:p>
    <w:sectPr>
      <w:pgSz w:w="11900" w:h="16838" w:orient="portrait"/>
      <w:cols w:equalWidth="0" w:num="1">
        <w:col w:w="11200"/>
      </w:cols>
      <w:pgMar w:left="320" w:top="59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2026-06-25T07:14:38Z</dcterms:created>
  <dcterms:modified xsi:type="dcterms:W3CDTF">2026-06-25T07:14:38Z</dcterms:modified>
</cp:coreProperties>
</file>