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§240.13d-1(b), (c) AND (d) AND AMENDMENTS THERETO FILED PURSUANT TO § 240.13d-2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___)*</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AcquaBounty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03842K200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13,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280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03842K200</w:t>
            </w:r>
          </w:p>
        </w:tc>
      </w:tr>
    </w:tbl>
    <w:p>
      <w:pPr>
        <w:spacing w:after="0" w:line="215" w:lineRule="exact"/>
        <w:rPr>
          <w:sz w:val="20"/>
          <w:szCs w:val="20"/>
          <w:color w:val="auto"/>
        </w:rPr>
      </w:pPr>
    </w:p>
    <w:p>
      <w:pPr>
        <w:ind w:left="600" w:hanging="578"/>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Sopica Special Opportunities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4090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090670"/>
                    </a:xfrm>
                    <a:prstGeom prst="rect">
                      <a:avLst/>
                    </a:prstGeom>
                    <a:noFill/>
                  </pic:spPr>
                </pic:pic>
              </a:graphicData>
            </a:graphic>
          </wp:anchor>
        </w:drawing>
      </w:r>
    </w:p>
    <w:p>
      <w:pPr>
        <w:ind w:left="600" w:hanging="578"/>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1160" w:hanging="246"/>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60" w:hanging="246"/>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00" w:hanging="578"/>
        <w:spacing w:after="0"/>
        <w:tabs>
          <w:tab w:leader="none" w:pos="6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700" w:right="7140" w:hanging="678"/>
        <w:spacing w:after="0" w:line="258" w:lineRule="auto"/>
        <w:tabs>
          <w:tab w:leader="none" w:pos="61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British Virgin Islands</w:t>
      </w:r>
    </w:p>
    <w:p>
      <w:pPr>
        <w:spacing w:after="0" w:line="1" w:lineRule="exact"/>
        <w:rPr>
          <w:rFonts w:ascii="Arial" w:cs="Arial" w:eastAsia="Arial" w:hAnsi="Arial"/>
          <w:sz w:val="18"/>
          <w:szCs w:val="18"/>
          <w:b w:val="1"/>
          <w:bCs w:val="1"/>
          <w:color w:val="auto"/>
        </w:rPr>
      </w:pPr>
    </w:p>
    <w:p>
      <w:pPr>
        <w:ind w:left="2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20" w:type="dxa"/>
            <w:vAlign w:val="bottom"/>
          </w:tcPr>
          <w:p>
            <w:pPr>
              <w:jc w:val="center"/>
              <w:ind w:right="350"/>
              <w:spacing w:after="0" w:line="195" w:lineRule="exact"/>
              <w:rPr>
                <w:sz w:val="20"/>
                <w:szCs w:val="20"/>
                <w:color w:val="auto"/>
              </w:rPr>
            </w:pPr>
            <w:r>
              <w:rPr>
                <w:rFonts w:ascii="Arial" w:cs="Arial" w:eastAsia="Arial" w:hAnsi="Arial"/>
                <w:sz w:val="18"/>
                <w:szCs w:val="18"/>
                <w:color w:val="auto"/>
                <w:w w:val="91"/>
              </w:rPr>
              <w:t>SHARES</w:t>
            </w:r>
          </w:p>
        </w:tc>
        <w:tc>
          <w:tcPr>
            <w:tcW w:w="4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w w:val="79"/>
              </w:rPr>
              <w:t>6</w:t>
            </w:r>
          </w:p>
        </w:tc>
        <w:tc>
          <w:tcPr>
            <w:tcW w:w="8840" w:type="dxa"/>
            <w:vAlign w:val="bottom"/>
          </w:tcPr>
          <w:p>
            <w:pPr>
              <w:ind w:left="3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511,192</w:t>
            </w:r>
          </w:p>
        </w:tc>
        <w:tc>
          <w:tcPr>
            <w:tcW w:w="0" w:type="dxa"/>
            <w:vAlign w:val="bottom"/>
          </w:tcPr>
          <w:p>
            <w:pPr>
              <w:spacing w:after="0"/>
              <w:rPr>
                <w:sz w:val="1"/>
                <w:szCs w:val="1"/>
                <w:color w:val="auto"/>
              </w:rPr>
            </w:pPr>
          </w:p>
        </w:tc>
      </w:tr>
      <w:tr>
        <w:trPr>
          <w:trHeight w:val="182"/>
        </w:trPr>
        <w:tc>
          <w:tcPr>
            <w:tcW w:w="1720" w:type="dxa"/>
            <w:vAlign w:val="bottom"/>
          </w:tcPr>
          <w:p>
            <w:pPr>
              <w:jc w:val="center"/>
              <w:ind w:right="350"/>
              <w:spacing w:after="0" w:line="182"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79"/>
              </w:rPr>
              <w:t>7</w:t>
            </w:r>
          </w:p>
        </w:tc>
        <w:tc>
          <w:tcPr>
            <w:tcW w:w="8840" w:type="dxa"/>
            <w:vAlign w:val="bottom"/>
          </w:tcPr>
          <w:p>
            <w:pPr>
              <w:ind w:left="3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88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20" w:type="dxa"/>
            <w:vAlign w:val="bottom"/>
            <w:vMerge w:val="restart"/>
          </w:tcPr>
          <w:p>
            <w:pPr>
              <w:jc w:val="center"/>
              <w:ind w:right="35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8840" w:type="dxa"/>
            <w:vAlign w:val="bottom"/>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511,192</w:t>
      </w:r>
    </w:p>
    <w:p>
      <w:pPr>
        <w:spacing w:after="0" w:line="23" w:lineRule="exact"/>
        <w:rPr>
          <w:sz w:val="20"/>
          <w:szCs w:val="20"/>
          <w:color w:val="auto"/>
        </w:rPr>
      </w:pPr>
    </w:p>
    <w:p>
      <w:pPr>
        <w:ind w:left="600" w:right="4260" w:hanging="578"/>
        <w:spacing w:after="0" w:line="258" w:lineRule="auto"/>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511,192</w:t>
      </w:r>
    </w:p>
    <w:p>
      <w:pPr>
        <w:spacing w:after="0" w:line="1" w:lineRule="exact"/>
        <w:rPr>
          <w:sz w:val="20"/>
          <w:szCs w:val="20"/>
          <w:color w:val="auto"/>
        </w:rPr>
      </w:pPr>
    </w:p>
    <w:p>
      <w:pPr>
        <w:ind w:left="600" w:hanging="578"/>
        <w:spacing w:after="0"/>
        <w:tabs>
          <w:tab w:leader="none" w:pos="60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7" w:lineRule="exact"/>
        <w:rPr>
          <w:rFonts w:ascii="Arial" w:cs="Arial" w:eastAsia="Arial" w:hAnsi="Arial"/>
          <w:sz w:val="18"/>
          <w:szCs w:val="18"/>
          <w:b w:val="1"/>
          <w:bCs w:val="1"/>
          <w:color w:val="auto"/>
        </w:rPr>
      </w:pPr>
    </w:p>
    <w:p>
      <w:pPr>
        <w:ind w:left="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600" w:hanging="578"/>
        <w:spacing w:after="0"/>
        <w:tabs>
          <w:tab w:leader="none" w:pos="60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1.6%*</w:t>
      </w:r>
    </w:p>
    <w:p>
      <w:pPr>
        <w:spacing w:after="0" w:line="9" w:lineRule="exact"/>
        <w:rPr>
          <w:rFonts w:ascii="Arial" w:cs="Arial" w:eastAsia="Arial" w:hAnsi="Arial"/>
          <w:sz w:val="18"/>
          <w:szCs w:val="18"/>
          <w:b w:val="1"/>
          <w:bCs w:val="1"/>
          <w:color w:val="auto"/>
        </w:rPr>
      </w:pPr>
    </w:p>
    <w:p>
      <w:pPr>
        <w:ind w:left="600" w:hanging="578"/>
        <w:spacing w:after="0"/>
        <w:tabs>
          <w:tab w:leader="none" w:pos="60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24" w:lineRule="exact"/>
        <w:rPr>
          <w:rFonts w:ascii="Arial" w:cs="Arial" w:eastAsia="Arial" w:hAnsi="Arial"/>
          <w:sz w:val="18"/>
          <w:szCs w:val="18"/>
          <w:b w:val="1"/>
          <w:bCs w:val="1"/>
          <w:color w:val="auto"/>
        </w:rPr>
      </w:pPr>
    </w:p>
    <w:p>
      <w:pPr>
        <w:jc w:val="both"/>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Percent of class is calculated based on (i) 21,605,322 shares of common stock, par value $0.001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AquaBounty Technologies,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November 4, 2019, as reported in the Issuer’s Quarterly Report on Form 10-Q (“</w:t>
      </w:r>
      <w:r>
        <w:rPr>
          <w:rFonts w:ascii="Arial" w:cs="Arial" w:eastAsia="Arial" w:hAnsi="Arial"/>
          <w:sz w:val="18"/>
          <w:szCs w:val="18"/>
          <w:u w:val="single" w:color="auto"/>
          <w:color w:val="auto"/>
        </w:rPr>
        <w:t>Form 10-Q</w:t>
      </w:r>
      <w:r>
        <w:rPr>
          <w:rFonts w:ascii="Arial" w:cs="Arial" w:eastAsia="Arial" w:hAnsi="Arial"/>
          <w:sz w:val="18"/>
          <w:szCs w:val="18"/>
          <w:color w:val="auto"/>
        </w:rPr>
        <w:t>”)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5, 2019, plus (ii) 10,350,000 shares of Common Stock issued in connection with the Offering (as defined below), including the exercise in full of the underwriters’ overallotment option.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280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03842K200</w:t>
            </w:r>
          </w:p>
        </w:tc>
      </w:tr>
    </w:tbl>
    <w:p>
      <w:pPr>
        <w:spacing w:after="0" w:line="215" w:lineRule="exact"/>
        <w:rPr>
          <w:sz w:val="20"/>
          <w:szCs w:val="20"/>
          <w:color w:val="auto"/>
        </w:rPr>
      </w:pPr>
    </w:p>
    <w:p>
      <w:pPr>
        <w:ind w:left="600" w:hanging="578"/>
        <w:spacing w:after="0"/>
        <w:tabs>
          <w:tab w:leader="none" w:pos="6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Sopica Global Retail Growth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4090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090670"/>
                    </a:xfrm>
                    <a:prstGeom prst="rect">
                      <a:avLst/>
                    </a:prstGeom>
                    <a:noFill/>
                  </pic:spPr>
                </pic:pic>
              </a:graphicData>
            </a:graphic>
          </wp:anchor>
        </w:drawing>
      </w:r>
    </w:p>
    <w:p>
      <w:pPr>
        <w:ind w:left="600" w:hanging="578"/>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1160" w:hanging="246"/>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60" w:hanging="246"/>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00" w:hanging="578"/>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700" w:right="7140" w:hanging="678"/>
        <w:spacing w:after="0" w:line="258" w:lineRule="auto"/>
        <w:tabs>
          <w:tab w:leader="none" w:pos="61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British Virgin Islands</w:t>
      </w:r>
    </w:p>
    <w:p>
      <w:pPr>
        <w:spacing w:after="0" w:line="1" w:lineRule="exact"/>
        <w:rPr>
          <w:rFonts w:ascii="Arial" w:cs="Arial" w:eastAsia="Arial" w:hAnsi="Arial"/>
          <w:sz w:val="18"/>
          <w:szCs w:val="18"/>
          <w:b w:val="1"/>
          <w:bCs w:val="1"/>
          <w:color w:val="auto"/>
        </w:rPr>
      </w:pPr>
    </w:p>
    <w:p>
      <w:pPr>
        <w:ind w:left="2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20" w:type="dxa"/>
            <w:vAlign w:val="bottom"/>
          </w:tcPr>
          <w:p>
            <w:pPr>
              <w:jc w:val="center"/>
              <w:ind w:right="350"/>
              <w:spacing w:after="0" w:line="195" w:lineRule="exact"/>
              <w:rPr>
                <w:sz w:val="20"/>
                <w:szCs w:val="20"/>
                <w:color w:val="auto"/>
              </w:rPr>
            </w:pPr>
            <w:r>
              <w:rPr>
                <w:rFonts w:ascii="Arial" w:cs="Arial" w:eastAsia="Arial" w:hAnsi="Arial"/>
                <w:sz w:val="18"/>
                <w:szCs w:val="18"/>
                <w:color w:val="auto"/>
                <w:w w:val="91"/>
              </w:rPr>
              <w:t>SHARES</w:t>
            </w:r>
          </w:p>
        </w:tc>
        <w:tc>
          <w:tcPr>
            <w:tcW w:w="4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w w:val="79"/>
              </w:rPr>
              <w:t>6</w:t>
            </w:r>
          </w:p>
        </w:tc>
        <w:tc>
          <w:tcPr>
            <w:tcW w:w="8840" w:type="dxa"/>
            <w:vAlign w:val="bottom"/>
          </w:tcPr>
          <w:p>
            <w:pPr>
              <w:ind w:left="3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2,650,000</w:t>
            </w:r>
          </w:p>
        </w:tc>
        <w:tc>
          <w:tcPr>
            <w:tcW w:w="0" w:type="dxa"/>
            <w:vAlign w:val="bottom"/>
          </w:tcPr>
          <w:p>
            <w:pPr>
              <w:spacing w:after="0"/>
              <w:rPr>
                <w:sz w:val="1"/>
                <w:szCs w:val="1"/>
                <w:color w:val="auto"/>
              </w:rPr>
            </w:pPr>
          </w:p>
        </w:tc>
      </w:tr>
      <w:tr>
        <w:trPr>
          <w:trHeight w:val="182"/>
        </w:trPr>
        <w:tc>
          <w:tcPr>
            <w:tcW w:w="1720" w:type="dxa"/>
            <w:vAlign w:val="bottom"/>
          </w:tcPr>
          <w:p>
            <w:pPr>
              <w:jc w:val="center"/>
              <w:ind w:right="350"/>
              <w:spacing w:after="0" w:line="182"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79"/>
              </w:rPr>
              <w:t>7</w:t>
            </w:r>
          </w:p>
        </w:tc>
        <w:tc>
          <w:tcPr>
            <w:tcW w:w="8840" w:type="dxa"/>
            <w:vAlign w:val="bottom"/>
          </w:tcPr>
          <w:p>
            <w:pPr>
              <w:ind w:left="3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88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20" w:type="dxa"/>
            <w:vAlign w:val="bottom"/>
            <w:vMerge w:val="restart"/>
          </w:tcPr>
          <w:p>
            <w:pPr>
              <w:jc w:val="center"/>
              <w:ind w:right="35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8840" w:type="dxa"/>
            <w:vAlign w:val="bottom"/>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2,650,000</w:t>
      </w:r>
    </w:p>
    <w:p>
      <w:pPr>
        <w:spacing w:after="0" w:line="23" w:lineRule="exact"/>
        <w:rPr>
          <w:sz w:val="20"/>
          <w:szCs w:val="20"/>
          <w:color w:val="auto"/>
        </w:rPr>
      </w:pPr>
    </w:p>
    <w:p>
      <w:pPr>
        <w:ind w:left="600" w:right="4260" w:hanging="578"/>
        <w:spacing w:after="0" w:line="258" w:lineRule="auto"/>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2,650,000</w:t>
      </w:r>
    </w:p>
    <w:p>
      <w:pPr>
        <w:spacing w:after="0" w:line="1" w:lineRule="exact"/>
        <w:rPr>
          <w:sz w:val="20"/>
          <w:szCs w:val="20"/>
          <w:color w:val="auto"/>
        </w:rPr>
      </w:pPr>
    </w:p>
    <w:p>
      <w:pPr>
        <w:ind w:left="600" w:hanging="578"/>
        <w:spacing w:after="0"/>
        <w:tabs>
          <w:tab w:leader="none" w:pos="60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7" w:lineRule="exact"/>
        <w:rPr>
          <w:rFonts w:ascii="Arial" w:cs="Arial" w:eastAsia="Arial" w:hAnsi="Arial"/>
          <w:sz w:val="18"/>
          <w:szCs w:val="18"/>
          <w:b w:val="1"/>
          <w:bCs w:val="1"/>
          <w:color w:val="auto"/>
        </w:rPr>
      </w:pPr>
    </w:p>
    <w:p>
      <w:pPr>
        <w:ind w:left="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600" w:hanging="578"/>
        <w:spacing w:after="0"/>
        <w:tabs>
          <w:tab w:leader="none" w:pos="60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8.3%*</w:t>
      </w:r>
    </w:p>
    <w:p>
      <w:pPr>
        <w:spacing w:after="0" w:line="9" w:lineRule="exact"/>
        <w:rPr>
          <w:rFonts w:ascii="Arial" w:cs="Arial" w:eastAsia="Arial" w:hAnsi="Arial"/>
          <w:sz w:val="18"/>
          <w:szCs w:val="18"/>
          <w:b w:val="1"/>
          <w:bCs w:val="1"/>
          <w:color w:val="auto"/>
        </w:rPr>
      </w:pPr>
    </w:p>
    <w:p>
      <w:pPr>
        <w:ind w:left="600" w:hanging="578"/>
        <w:spacing w:after="0"/>
        <w:tabs>
          <w:tab w:leader="none" w:pos="60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24" w:lineRule="exact"/>
        <w:rPr>
          <w:rFonts w:ascii="Arial" w:cs="Arial" w:eastAsia="Arial" w:hAnsi="Arial"/>
          <w:sz w:val="18"/>
          <w:szCs w:val="18"/>
          <w:b w:val="1"/>
          <w:bCs w:val="1"/>
          <w:color w:val="auto"/>
        </w:rPr>
      </w:pPr>
    </w:p>
    <w:p>
      <w:pPr>
        <w:jc w:val="both"/>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Percent of class is calculated based on (i) 21,605,322 shares of Common Stock of the Issuer outstanding as of November 4, 2019, as reported in the Issuer’s Form 10-Q, plus (ii) 10,350,000 shares of Common Stock issued in connection with the Offering, including the exercise in full of the underwriters’ overallotment option.</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280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03842K200</w:t>
            </w:r>
          </w:p>
        </w:tc>
      </w:tr>
    </w:tbl>
    <w:p>
      <w:pPr>
        <w:spacing w:after="0" w:line="215" w:lineRule="exact"/>
        <w:rPr>
          <w:sz w:val="20"/>
          <w:szCs w:val="20"/>
          <w:color w:val="auto"/>
        </w:rPr>
      </w:pPr>
    </w:p>
    <w:p>
      <w:pPr>
        <w:ind w:left="600" w:hanging="578"/>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LLF Financial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4090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090670"/>
                    </a:xfrm>
                    <a:prstGeom prst="rect">
                      <a:avLst/>
                    </a:prstGeom>
                    <a:noFill/>
                  </pic:spPr>
                </pic:pic>
              </a:graphicData>
            </a:graphic>
          </wp:anchor>
        </w:drawing>
      </w:r>
    </w:p>
    <w:p>
      <w:pPr>
        <w:ind w:left="600" w:hanging="578"/>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1160" w:hanging="246"/>
        <w:spacing w:after="0" w:line="207" w:lineRule="exact"/>
        <w:tabs>
          <w:tab w:leader="none" w:pos="11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60" w:hanging="246"/>
        <w:spacing w:after="0" w:line="207" w:lineRule="exact"/>
        <w:tabs>
          <w:tab w:leader="none" w:pos="11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00" w:hanging="578"/>
        <w:spacing w:after="0"/>
        <w:tabs>
          <w:tab w:leader="none" w:pos="6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700" w:right="7140" w:hanging="678"/>
        <w:spacing w:after="0" w:line="258" w:lineRule="auto"/>
        <w:tabs>
          <w:tab w:leader="none" w:pos="61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Luxembourg</w:t>
      </w:r>
    </w:p>
    <w:p>
      <w:pPr>
        <w:spacing w:after="0" w:line="1" w:lineRule="exact"/>
        <w:rPr>
          <w:rFonts w:ascii="Arial" w:cs="Arial" w:eastAsia="Arial" w:hAnsi="Arial"/>
          <w:sz w:val="18"/>
          <w:szCs w:val="18"/>
          <w:b w:val="1"/>
          <w:bCs w:val="1"/>
          <w:color w:val="auto"/>
        </w:rPr>
      </w:pPr>
    </w:p>
    <w:p>
      <w:pPr>
        <w:ind w:left="2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20" w:type="dxa"/>
            <w:vAlign w:val="bottom"/>
          </w:tcPr>
          <w:p>
            <w:pPr>
              <w:jc w:val="center"/>
              <w:ind w:right="350"/>
              <w:spacing w:after="0" w:line="195" w:lineRule="exact"/>
              <w:rPr>
                <w:sz w:val="20"/>
                <w:szCs w:val="20"/>
                <w:color w:val="auto"/>
              </w:rPr>
            </w:pPr>
            <w:r>
              <w:rPr>
                <w:rFonts w:ascii="Arial" w:cs="Arial" w:eastAsia="Arial" w:hAnsi="Arial"/>
                <w:sz w:val="18"/>
                <w:szCs w:val="18"/>
                <w:color w:val="auto"/>
                <w:w w:val="91"/>
              </w:rPr>
              <w:t>SHARES</w:t>
            </w:r>
          </w:p>
        </w:tc>
        <w:tc>
          <w:tcPr>
            <w:tcW w:w="4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w w:val="79"/>
              </w:rPr>
              <w:t>6</w:t>
            </w:r>
          </w:p>
        </w:tc>
        <w:tc>
          <w:tcPr>
            <w:tcW w:w="8840" w:type="dxa"/>
            <w:vAlign w:val="bottom"/>
          </w:tcPr>
          <w:p>
            <w:pPr>
              <w:ind w:left="3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3,161,192</w:t>
            </w:r>
          </w:p>
        </w:tc>
        <w:tc>
          <w:tcPr>
            <w:tcW w:w="0" w:type="dxa"/>
            <w:vAlign w:val="bottom"/>
          </w:tcPr>
          <w:p>
            <w:pPr>
              <w:spacing w:after="0"/>
              <w:rPr>
                <w:sz w:val="1"/>
                <w:szCs w:val="1"/>
                <w:color w:val="auto"/>
              </w:rPr>
            </w:pPr>
          </w:p>
        </w:tc>
      </w:tr>
      <w:tr>
        <w:trPr>
          <w:trHeight w:val="182"/>
        </w:trPr>
        <w:tc>
          <w:tcPr>
            <w:tcW w:w="1720" w:type="dxa"/>
            <w:vAlign w:val="bottom"/>
          </w:tcPr>
          <w:p>
            <w:pPr>
              <w:jc w:val="center"/>
              <w:ind w:right="350"/>
              <w:spacing w:after="0" w:line="182"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79"/>
              </w:rPr>
              <w:t>7</w:t>
            </w:r>
          </w:p>
        </w:tc>
        <w:tc>
          <w:tcPr>
            <w:tcW w:w="8840" w:type="dxa"/>
            <w:vAlign w:val="bottom"/>
          </w:tcPr>
          <w:p>
            <w:pPr>
              <w:ind w:left="3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35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88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20" w:type="dxa"/>
            <w:vAlign w:val="bottom"/>
            <w:vMerge w:val="restart"/>
          </w:tcPr>
          <w:p>
            <w:pPr>
              <w:jc w:val="center"/>
              <w:ind w:right="35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8840" w:type="dxa"/>
            <w:vAlign w:val="bottom"/>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3,161,192</w:t>
      </w:r>
    </w:p>
    <w:p>
      <w:pPr>
        <w:spacing w:after="0" w:line="23" w:lineRule="exact"/>
        <w:rPr>
          <w:sz w:val="20"/>
          <w:szCs w:val="20"/>
          <w:color w:val="auto"/>
        </w:rPr>
      </w:pPr>
    </w:p>
    <w:p>
      <w:pPr>
        <w:ind w:left="600" w:right="4260" w:hanging="578"/>
        <w:spacing w:after="0" w:line="258" w:lineRule="auto"/>
        <w:tabs>
          <w:tab w:leader="none" w:pos="6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3,161,192</w:t>
      </w:r>
    </w:p>
    <w:p>
      <w:pPr>
        <w:spacing w:after="0" w:line="1" w:lineRule="exact"/>
        <w:rPr>
          <w:sz w:val="20"/>
          <w:szCs w:val="20"/>
          <w:color w:val="auto"/>
        </w:rPr>
      </w:pPr>
    </w:p>
    <w:p>
      <w:pPr>
        <w:ind w:left="600" w:hanging="578"/>
        <w:spacing w:after="0"/>
        <w:tabs>
          <w:tab w:leader="none" w:pos="60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7" w:lineRule="exact"/>
        <w:rPr>
          <w:rFonts w:ascii="Arial" w:cs="Arial" w:eastAsia="Arial" w:hAnsi="Arial"/>
          <w:sz w:val="18"/>
          <w:szCs w:val="18"/>
          <w:b w:val="1"/>
          <w:bCs w:val="1"/>
          <w:color w:val="auto"/>
        </w:rPr>
      </w:pPr>
    </w:p>
    <w:p>
      <w:pPr>
        <w:ind w:left="6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600" w:hanging="578"/>
        <w:spacing w:after="0"/>
        <w:tabs>
          <w:tab w:leader="none" w:pos="60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9.9%*</w:t>
      </w:r>
    </w:p>
    <w:p>
      <w:pPr>
        <w:spacing w:after="0" w:line="9" w:lineRule="exact"/>
        <w:rPr>
          <w:rFonts w:ascii="Arial" w:cs="Arial" w:eastAsia="Arial" w:hAnsi="Arial"/>
          <w:sz w:val="18"/>
          <w:szCs w:val="18"/>
          <w:b w:val="1"/>
          <w:bCs w:val="1"/>
          <w:color w:val="auto"/>
        </w:rPr>
      </w:pPr>
    </w:p>
    <w:p>
      <w:pPr>
        <w:ind w:left="600" w:hanging="578"/>
        <w:spacing w:after="0"/>
        <w:tabs>
          <w:tab w:leader="none" w:pos="60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24" w:lineRule="exact"/>
        <w:rPr>
          <w:rFonts w:ascii="Arial" w:cs="Arial" w:eastAsia="Arial" w:hAnsi="Arial"/>
          <w:sz w:val="18"/>
          <w:szCs w:val="18"/>
          <w:b w:val="1"/>
          <w:bCs w:val="1"/>
          <w:color w:val="auto"/>
        </w:rPr>
      </w:pPr>
    </w:p>
    <w:p>
      <w:pPr>
        <w:jc w:val="both"/>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Percent of class is calculated based on (i) 21,605,322 shares of Common Stock of the Issuer outstanding as of November 4, 2019, as reported in the Issuer’s Form 10-Q, plus (ii) 10,350,000 shares of Common Stock issued in connection with the Offering, including the exercise in full of the underwriters’ overallotment option.</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AquaBounty Technologies,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Mill &amp; Main Place, Suite 395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Maynard, Massachusetts 01754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Sopica Special Opportunities Fund LTD (“SSOF”)</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Sopica Global Retail Growth Fund LTD (“SGRGF”)</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LLF Financial S.A. (“LLFF”)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for All Reporting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place of business of LLFF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Rue Aldringen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Luxembourg, Luxembourg L-1118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place of business of each of SSOF and SGRGF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Folio Chambers, Road Town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Tortola, British Virgin Islands VG1110</w:t>
      </w:r>
    </w:p>
    <w:p>
      <w:pPr>
        <w:spacing w:after="0" w:line="200" w:lineRule="exact"/>
        <w:rPr>
          <w:sz w:val="20"/>
          <w:szCs w:val="20"/>
          <w:color w:val="auto"/>
        </w:rPr>
      </w:pPr>
    </w:p>
    <w:p>
      <w:pPr>
        <w:spacing w:after="0" w:line="237"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SSOF and SGRGF are each organized under the laws of the British Virgin Islands. LLFF is organized under the laws of Luxembourg.</w:t>
      </w:r>
    </w:p>
    <w:p>
      <w:pPr>
        <w:spacing w:after="0" w:line="244"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 (the “Common Stock”)</w:t>
      </w:r>
    </w:p>
    <w:p>
      <w:pPr>
        <w:spacing w:after="0" w:line="221" w:lineRule="exact"/>
        <w:rPr>
          <w:sz w:val="20"/>
          <w:szCs w:val="20"/>
          <w:color w:val="auto"/>
        </w:rPr>
      </w:pPr>
    </w:p>
    <w:p>
      <w:pPr>
        <w:ind w:left="400"/>
        <w:spacing w:after="0"/>
        <w:tabs>
          <w:tab w:leader="none" w:pos="16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03842K200</w:t>
      </w:r>
    </w:p>
    <w:p>
      <w:pPr>
        <w:spacing w:after="0" w:line="36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7" w:lineRule="exact"/>
        <w:rPr>
          <w:sz w:val="20"/>
          <w:szCs w:val="20"/>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57"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U.S.C.80a-8);</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300" w:right="160" w:hanging="644"/>
        <w:spacing w:after="0" w:line="215"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If filing as a non-U.S. institution in accordance with §240.13d-1(b)(1)(ii)(J), please specify the type of institution: </w:t>
      </w:r>
      <w:r>
        <w:rPr>
          <w:rFonts w:ascii="Arial" w:cs="Arial" w:eastAsia="Arial" w:hAnsi="Arial"/>
          <w:sz w:val="18"/>
          <w:szCs w:val="18"/>
          <w:u w:val="single" w:color="auto"/>
          <w:color w:val="auto"/>
        </w:rPr>
        <w:t>(i) with respect to SSOF and SGRGF, an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 company, and (ii) with respect to LLFF, an investment adviser.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SSOF beneficially owns directly 511,192 shares of Common Stock and SGRGF beneficially owns directly 2,650,000 shares of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LLFF is the investment manager of each of SSOF and SGRGF and holds all of the management shares of each of SSOF and SGRGF. As a result, LLFF may be deemed to have voting power and/or investment power over the Common Stock held by SSOF and SGRGF, which is equal to 3,161,192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Yuriy Lopatynskyy, a citizen of the United Kingdom, and Mr. Hennadiy Lopatynskyy, a citizen of Ukraine, each own half of the equity interests of LLFF.</w:t>
      </w:r>
    </w:p>
    <w:p>
      <w:pPr>
        <w:spacing w:after="0" w:line="24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SSOF is the direct beneficial owner of 1.6% of the outstanding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SGRGF is the direct beneficial owner of 8.3% of the outstanding shares of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LLFF may be deemed to have voting power and/or investment power over the Common Stock held by SSOF and SGRGF, which represents 9.9% of the outstanding shares of Common Stock.</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The foregoing percentages are calculated by dividing the number of shares beneficially owned by each of the Reporting Persons by the total amount outstanding. The total amount outstanding for the purposes of this statement is calculated based on (i) 21,605,322 shares of Common Stock of the Issuer outstanding as of November 4, 2019, as reported in the Issuer’s Form 10-Q, plus (ii) 10,350,000 shares of Common Stock issued in connection with the underwritten public offering of the Company’s Common Stock, which includes the exercise in full of the underwriters’ overallotment option, which closed on February 13, 2020 (the “Offering”).</w:t>
      </w:r>
    </w:p>
    <w:p>
      <w:pPr>
        <w:spacing w:after="0" w:line="184"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Rows 5-9 of the cover page for each Reporting Person is incorporated herein by reference for each such Reporting Person.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information set forth in this Item 4 should not be construed as an admission by any Reporting Person as to beneficial ownership of any shares of Common Stock owned by another Reporting Person. Each of the Reporting Persons disclaims beneficial ownership of the shares of Common Stock that are not directly owned by such Reporting Person, except to the extent of their pecuniary interest therein.</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2020</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Sopica Special Opportunities Fund LTD</w:t>
      </w:r>
    </w:p>
    <w:p>
      <w:pPr>
        <w:spacing w:after="0" w:line="22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Marie-Laure Aflalo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Marie-Laure Aflalo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Lionel Elie Mamane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Lionel Elie Mamane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Sopica Global Retail Growth Fund LTD</w:t>
      </w:r>
    </w:p>
    <w:p>
      <w:pPr>
        <w:spacing w:after="0" w:line="22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Marie-Laure Aflalo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Marie-Laure Aflalo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Lionel Elie Mamane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Lionel Elie Mamane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LLF Financial S.A.</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Yuriy Lopatynskyy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Yuriy Lopatynskyy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36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810" w:right="5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2020</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Sopica Special Opportunities Fund LTD</w:t>
      </w:r>
    </w:p>
    <w:p>
      <w:pPr>
        <w:spacing w:after="0" w:line="229"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Marie-Laure Aflalo</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Marie-Laure Aflalo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Lionel Elie Mamane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Lionel Elie Mamane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Sopica Global Retail Growth Fund LTD</w:t>
      </w:r>
    </w:p>
    <w:p>
      <w:pPr>
        <w:spacing w:after="0" w:line="229"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Marie-Laure Aflalo</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Marie-Laure Aflalo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Lionel Elie Mamane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Lionel Elie Mamane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LLF Financial S.A.</w:t>
      </w:r>
    </w:p>
    <w:p>
      <w:pPr>
        <w:spacing w:after="0" w:line="229"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Yuriy Lopatynskyy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Yuriy Lopatynskyy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bullet"/>
      <w:start w:val="1"/>
    </w:lvl>
  </w:abstractNum>
  <w:abstractNum w:abstractNumId="4">
    <w:nsid w:val="41A7C4C9"/>
    <w:multiLevelType w:val="hybridMultilevel"/>
    <w:lvl w:ilvl="0">
      <w:lvlJc w:val="left"/>
      <w:lvlText w:val="2"/>
      <w:numFmt w:val="bullet"/>
      <w:start w:val="1"/>
    </w:lvl>
    <w:lvl w:ilvl="1">
      <w:lvlJc w:val="left"/>
      <w:lvlText w:val="(%2)"/>
      <w:numFmt w:val="lowerLetter"/>
      <w:start w:val="1"/>
    </w:lvl>
  </w:abstractNum>
  <w:abstractNum w:abstractNumId="5">
    <w:nsid w:val="6B68079A"/>
    <w:multiLevelType w:val="hybridMultilevel"/>
    <w:lvl w:ilvl="0">
      <w:lvlJc w:val="left"/>
      <w:lvlText w:val="3"/>
      <w:numFmt w:val="bullet"/>
      <w:start w:val="1"/>
    </w:lvl>
  </w:abstractNum>
  <w:abstractNum w:abstractNumId="6">
    <w:nsid w:val="4E6AFB66"/>
    <w:multiLevelType w:val="hybridMultilevel"/>
    <w:lvl w:ilvl="0">
      <w:lvlJc w:val="left"/>
      <w:lvlText w:val="4"/>
      <w:numFmt w:val="bullet"/>
      <w:start w:val="1"/>
    </w:lvl>
  </w:abstractNum>
  <w:abstractNum w:abstractNumId="7">
    <w:nsid w:val="25E45D32"/>
    <w:multiLevelType w:val="hybridMultilevel"/>
    <w:lvl w:ilvl="0">
      <w:lvlJc w:val="left"/>
      <w:lvlText w:val="9"/>
      <w:numFmt w:val="bullet"/>
      <w:start w:val="1"/>
    </w:lvl>
  </w:abstractNum>
  <w:abstractNum w:abstractNumId="8">
    <w:nsid w:val="519B500D"/>
    <w:multiLevelType w:val="hybridMultilevel"/>
    <w:lvl w:ilvl="0">
      <w:lvlJc w:val="left"/>
      <w:lvlText w:val="*"/>
      <w:numFmt w:val="bullet"/>
      <w:start w:val="1"/>
    </w:lvl>
    <w:lvl w:ilvl="1">
      <w:lvlJc w:val="left"/>
      <w:lvlText w:val="%2"/>
      <w:numFmt w:val="decimal"/>
      <w:start w:val="10"/>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2"/>
      <w:numFmt w:val="bullet"/>
      <w:start w:val="1"/>
    </w:lvl>
    <w:lvl w:ilvl="1">
      <w:lvlJc w:val="left"/>
      <w:lvlText w:val="(%2)"/>
      <w:numFmt w:val="lowerLetter"/>
      <w:start w:val="1"/>
    </w:lvl>
  </w:abstractNum>
  <w:abstractNum w:abstractNumId="11">
    <w:nsid w:val="7C83E458"/>
    <w:multiLevelType w:val="hybridMultilevel"/>
    <w:lvl w:ilvl="0">
      <w:lvlJc w:val="left"/>
      <w:lvlText w:val="3"/>
      <w:numFmt w:val="bullet"/>
      <w:start w:val="1"/>
    </w:lvl>
  </w:abstractNum>
  <w:abstractNum w:abstractNumId="12">
    <w:nsid w:val="257130A3"/>
    <w:multiLevelType w:val="hybridMultilevel"/>
    <w:lvl w:ilvl="0">
      <w:lvlJc w:val="left"/>
      <w:lvlText w:val="4"/>
      <w:numFmt w:val="bullet"/>
      <w:start w:val="1"/>
    </w:lvl>
  </w:abstractNum>
  <w:abstractNum w:abstractNumId="13">
    <w:nsid w:val="62BBD95A"/>
    <w:multiLevelType w:val="hybridMultilevel"/>
    <w:lvl w:ilvl="0">
      <w:lvlJc w:val="left"/>
      <w:lvlText w:val="9"/>
      <w:numFmt w:val="bullet"/>
      <w:start w:val="1"/>
    </w:lvl>
  </w:abstractNum>
  <w:abstractNum w:abstractNumId="14">
    <w:nsid w:val="436C6125"/>
    <w:multiLevelType w:val="hybridMultilevel"/>
    <w:lvl w:ilvl="0">
      <w:lvlJc w:val="left"/>
      <w:lvlText w:val="*"/>
      <w:numFmt w:val="bullet"/>
      <w:start w:val="1"/>
    </w:lvl>
    <w:lvl w:ilvl="1">
      <w:lvlJc w:val="left"/>
      <w:lvlText w:val="%2"/>
      <w:numFmt w:val="decimal"/>
      <w:start w:val="10"/>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2"/>
      <w:numFmt w:val="bullet"/>
      <w:start w:val="1"/>
    </w:lvl>
    <w:lvl w:ilvl="1">
      <w:lvlJc w:val="left"/>
      <w:lvlText w:val="(%2)"/>
      <w:numFmt w:val="lowerLetter"/>
      <w:start w:val="1"/>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4"/>
      <w:numFmt w:val="bullet"/>
      <w:start w:val="1"/>
    </w:lvl>
  </w:abstractNum>
  <w:abstractNum w:abstractNumId="19">
    <w:nsid w:val="2D1D5AE9"/>
    <w:multiLevelType w:val="hybridMultilevel"/>
    <w:lvl w:ilvl="0">
      <w:lvlJc w:val="left"/>
      <w:lvlText w:val="9"/>
      <w:numFmt w:val="bullet"/>
      <w:start w:val="1"/>
    </w:lvl>
  </w:abstractNum>
  <w:abstractNum w:abstractNumId="20">
    <w:nsid w:val="6763845E"/>
    <w:multiLevelType w:val="hybridMultilevel"/>
    <w:lvl w:ilvl="0">
      <w:lvlJc w:val="left"/>
      <w:lvlText w:val="*"/>
      <w:numFmt w:val="bullet"/>
      <w:start w:val="1"/>
    </w:lvl>
    <w:lvl w:ilvl="1">
      <w:lvlJc w:val="left"/>
      <w:lvlText w:val="%2"/>
      <w:numFmt w:val="decimal"/>
      <w:start w:val="10"/>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2020-02-25T13:33:19Z</dcterms:created>
  <dcterms:modified xsi:type="dcterms:W3CDTF">2020-02-25T13:33:19Z</dcterms:modified>
</cp:coreProperties>
</file>