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7, 2026</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AquaBounty Technologies, Inc.</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7"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322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001-36426</w:t>
            </w:r>
          </w:p>
        </w:tc>
        <w:tc>
          <w:tcPr>
            <w:tcW w:w="2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04-3156167</w:t>
            </w:r>
          </w:p>
        </w:tc>
      </w:tr>
      <w:tr>
        <w:trPr>
          <w:trHeight w:val="203"/>
        </w:trPr>
        <w:tc>
          <w:tcPr>
            <w:tcW w:w="3220" w:type="dxa"/>
            <w:vAlign w:val="bottom"/>
          </w:tcPr>
          <w:p>
            <w:pPr>
              <w:jc w:val="center"/>
              <w:ind w:right="1230"/>
              <w:spacing w:after="0" w:line="20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7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800" w:type="dxa"/>
            <w:vAlign w:val="bottom"/>
            <w:gridSpan w:val="2"/>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2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4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8"/>
              </w:rPr>
              <w:t>Identification‎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19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233 Ayer Road, Suite 4, Harvard, Massachusetts</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01451</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978-648-6000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Wingdings" w:cs="Wingdings" w:eastAsia="Wingdings" w:hAnsi="Wingdings"/>
          <w:sz w:val="18"/>
          <w:szCs w:val="18"/>
          <w:b w:val="1"/>
          <w:bCs w:val="1"/>
          <w:color w:val="auto"/>
        </w:rPr>
      </w:pP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16"/>
        </w:trPr>
        <w:tc>
          <w:tcPr>
            <w:tcW w:w="4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183"/>
        </w:trPr>
        <w:tc>
          <w:tcPr>
            <w:tcW w:w="4260" w:type="dxa"/>
            <w:vAlign w:val="bottom"/>
            <w:tcBorders>
              <w:left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Trading Symbol(s)</w:t>
            </w:r>
          </w:p>
        </w:tc>
        <w:tc>
          <w:tcPr>
            <w:tcW w:w="4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83"/>
        </w:trPr>
        <w:tc>
          <w:tcPr>
            <w:tcW w:w="4260" w:type="dxa"/>
            <w:vAlign w:val="bottom"/>
            <w:tcBorders>
              <w:left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76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AQB</w:t>
            </w:r>
          </w:p>
        </w:tc>
        <w:tc>
          <w:tcPr>
            <w:tcW w:w="4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On April 7, 2026, AquaBounty Technologies, Inc. (the “Company”) entered into securities exchange agreements (the “Exchange Agreements”) with certain holders of the Company’s outstanding senior notes, pursuant to which an aggregate of $4,000,000 of principal amount plus $315,616.44 of accrued and unpaid interest was exchanged for an aggregate of 236,367 shares of the Company’s Series A Convertible Preferred Stock, par value $0.01 per share (the “Series A Preferred Stock”), which are convertible into up to 4,727,371 shares of the Company’s common stock (the “Common Stock”) in a private placement (the “Note Exchange”).</w:t>
      </w:r>
    </w:p>
    <w:p>
      <w:pPr>
        <w:spacing w:after="0" w:line="161"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On April 7, 2026, the Company also entered into a preferred stock purchase agreement (the “Purchase Agreement”) with a certain purchaser, pursuant to which the Company issued and sold 27,386 shares of Series A Preferred Stock, which are convertible into up to 547,705 shares of Common Stock, for aggregate cash consideration of $500,000 in a private placement (the “Preferred Placement” and, together with the Note Exchange, the “Offering”).</w:t>
      </w:r>
    </w:p>
    <w:p>
      <w:pPr>
        <w:spacing w:after="0" w:line="15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connection with the Offering, on April 7, 2026, the Company entered into a placement agency agreement with Univest Securities, LLC (“Univest”) to serve as the placement agent for the Offering (the “Placement Agency Agreement”). Pursuant to the Placement Agency Agreement, the Company agreed to pay Univest a fee equal to 7.0% of the gross proceeds received from the sale of the Series A Preferred Stock for $500,000 in the Preferred Placement.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Agreements, the Purchase Agreement and the Placement Agency Agreement closed on April 7, 2026.</w:t>
      </w:r>
    </w:p>
    <w:p>
      <w:pPr>
        <w:spacing w:after="0" w:line="17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Series A Preferred Stock was designated pursuant to a Certificate of Designations filed by the Company with the Secretary of State of the State of Delaware on April 7, 2026 (the “Certificate of Designations”).</w:t>
      </w:r>
    </w:p>
    <w:p>
      <w:pPr>
        <w:spacing w:after="0" w:line="13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foregoing descriptions of the Exchange Agreements, the Purchase Agreement and the Placement Agency Agreement do not purport to be complete and are qualified in their entirety by reference to the form of Exchange Agreement, the form of Preferred Stock Purchase Agreement, and the Placement Agency Agreement, copies of which are filed as Exhibits 10.1, 10.2 and 10.3, respectively, to this Current Report on Form 8-K and are incorporated herein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7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The shares of Series A Preferred Stock pursuant to the Exchange Agreement and the Purchase Agreement described in Item 1.01 above were issued in reliance upon the exemption from registration pursuant to Section 4(a)(2) of the Securities Act of 1933, as amended, and/or Regulation D promulgated thereunder. The shares of Series A Preferred Stock were offered and sold in transactions not involving any form of general solicitation or advertising, and the recipients represented that they were accredited investors acquiring the securities for investment purposes.</w:t>
      </w:r>
    </w:p>
    <w:p>
      <w:pPr>
        <w:spacing w:after="0" w:line="14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Series A Preferred Stock and any shares of the Common Stock issuable upon conversion thereof have not been registered under the Securities Act and may not be offered or sold absent subsequent registration or an applicable exemption from registration.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Items 1.01 and 3.03 of this Current Report on Form 8-K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Modifications to Rights of Security Holders.</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connection with the transactions described in Item 1.01, on April 7, 2026, the Company filed the Certificate of Designations with the Secretary of State of the State of Delaware, establishing the rights, preferences and privileges of the Series A Preferred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material terms of the Series A Preferred Stock:</w:t>
      </w:r>
    </w:p>
    <w:p>
      <w:pPr>
        <w:spacing w:after="0" w:line="18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xml:space="preserve"> The Series A Preferred Stock ranks senior to the Company’s common stock and all other junior equity securities with respect to dividends and distributions upon liquidation, dissolution or winding up.</w:t>
      </w:r>
    </w:p>
    <w:p>
      <w:pPr>
        <w:spacing w:after="0" w:line="14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Dividends will accrue on each share of Series A Preferred Stock at the rate of 18.0% per annum on a quarterly basis in arrears, calculated solely on the Liquidation Value (as defined below). Dividends are payable in cash when declared on a bi-annual schedule (the last day of October and April), and the Board may permit dividends to accumulate rather than be paid on a Dividend Payment Date, subject to applicable law and exchange rules. No dividends (including accrued or accumulated dividends) may be payable or settleable in shares of common stock unless such issuance is permitted under applicable exchange rules.</w:t>
      </w:r>
    </w:p>
    <w:p>
      <w:pPr>
        <w:spacing w:after="0" w:line="16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u w:val="single" w:color="auto"/>
          <w:color w:val="auto"/>
        </w:rPr>
        <w:t>Partial dividend payments.</w:t>
      </w:r>
      <w:r>
        <w:rPr>
          <w:rFonts w:ascii="Times New Roman" w:cs="Times New Roman" w:eastAsia="Times New Roman" w:hAnsi="Times New Roman"/>
          <w:sz w:val="18"/>
          <w:szCs w:val="18"/>
          <w:color w:val="auto"/>
        </w:rPr>
        <w:t xml:space="preserve"> If the Company pays less than the full amount of accrued and accumulated dividends, the amount paid must be distributed pro rata among holders based on the accrued and accumulated but unpaid dividends on the shares held by each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 w:name="page3"/>
    <w:bookmarkEnd w:id="2"/>
    <w:p>
      <w:pPr>
        <w:ind w:right="200"/>
        <w:spacing w:after="0"/>
        <w:rPr>
          <w:sz w:val="20"/>
          <w:szCs w:val="20"/>
          <w:color w:val="auto"/>
        </w:rPr>
      </w:pPr>
      <w:r>
        <w:rPr>
          <w:rFonts w:ascii="Times New Roman" w:cs="Times New Roman" w:eastAsia="Times New Roman" w:hAnsi="Times New Roman"/>
          <w:sz w:val="18"/>
          <w:szCs w:val="18"/>
          <w:u w:val="single" w:color="auto"/>
          <w:color w:val="auto"/>
        </w:rPr>
        <w:t>Liquidation preference / Change of Control.</w:t>
      </w:r>
      <w:r>
        <w:rPr>
          <w:rFonts w:ascii="Times New Roman" w:cs="Times New Roman" w:eastAsia="Times New Roman" w:hAnsi="Times New Roman"/>
          <w:sz w:val="18"/>
          <w:szCs w:val="18"/>
          <w:color w:val="auto"/>
        </w:rPr>
        <w:t xml:space="preserve"> Upon any liquidation, dissolution or winding up, holders of Seres A Preferred Stock are entitled to receive, before any distribution to junior securities, at the holder’s election, either (i) cash or (ii) non-cash consideration valued at fair market value as determined by the board in good faith, in each case equal to the aggregate Liquidation Value plus all unpaid accrued and accumulated dividends (whether or not declared). A change of control is treated as a liquidation and triggers the same preference. The Series A Preferred Stock is non-participating.</w:t>
      </w:r>
    </w:p>
    <w:p>
      <w:pPr>
        <w:spacing w:after="0" w:line="14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u w:val="single" w:color="auto"/>
          <w:color w:val="auto"/>
        </w:rPr>
        <w:t>Liquidation Value</w:t>
      </w:r>
      <w:r>
        <w:rPr>
          <w:rFonts w:ascii="Times New Roman" w:cs="Times New Roman" w:eastAsia="Times New Roman" w:hAnsi="Times New Roman"/>
          <w:sz w:val="18"/>
          <w:szCs w:val="18"/>
          <w:color w:val="auto"/>
        </w:rPr>
        <w:t>. The Liquidation Value per share is $18.2580, subject to adjustment for stock splits, stock dividends, recapitalizations and similar transactions affecting the Series A Preferred Stock.</w:t>
      </w:r>
    </w:p>
    <w:p>
      <w:pPr>
        <w:spacing w:after="0" w:line="13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Each share of Series A Preferred Stock votes together with the Common Stock as a single class on all matters submitted to stockholders, with each share having a number of votes equal to the number of shares of common stock into which it is then convertible (as of the applicable record date).</w:t>
      </w:r>
    </w:p>
    <w:p>
      <w:pPr>
        <w:spacing w:after="0" w:line="149"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u w:val="single" w:color="auto"/>
          <w:color w:val="auto"/>
        </w:rPr>
        <w:t>Protective provisions.</w:t>
      </w:r>
      <w:r>
        <w:rPr>
          <w:rFonts w:ascii="Times New Roman" w:cs="Times New Roman" w:eastAsia="Times New Roman" w:hAnsi="Times New Roman"/>
          <w:sz w:val="18"/>
          <w:szCs w:val="18"/>
          <w:color w:val="auto"/>
        </w:rPr>
        <w:t xml:space="preserve"> Without the prior written consent of holders of at least two-thirds of the outstanding Series A Preferred Stock voting as a separate class, the Company may not, among other things, authorize any security senior to the Series A Preferred Stock, make certain charter/bylaw/Series A Preferred Stock amendments, or redeem/repurchase or pay dividends/distributions on capital stock, subject to the exceptions stated in the Certificate of Designations.</w:t>
      </w:r>
    </w:p>
    <w:p>
      <w:pPr>
        <w:spacing w:after="0" w:line="158"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Shares of Series A Preferred Stock are convertible at any time at the holder’s election into shares of common stock based on the applicable Liquidation Value. In addition, subject to compliance with applicable exchange rules, the Company’s Board of Directors may elect to convert accrued and unpaid dividends into shares of Common Stock based on the applicable Liquidation Value.</w:t>
      </w:r>
    </w:p>
    <w:p>
      <w:pPr>
        <w:spacing w:after="0" w:line="159"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After the closing of a debt or equity financing resulting in proceeds to the Company in excess of $20,000,000, holders representing at least a two-thirds “Supermajority Interest” may require the Company to redeem all (but not less than all) outstanding shares for a per-share price equal to the applicable Liquidation Value plus all unpaid accrued and accumulated dividends (whether or not declared), subject to legally available funds. The redemption must occur within 90 days after the Company receives the election notice, and each holder may instead elect to convert its shares before the conversion election deadline specified in the redemption notice.</w:t>
      </w:r>
    </w:p>
    <w:p>
      <w:pPr>
        <w:spacing w:after="0" w:line="16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u w:val="single" w:color="auto"/>
          <w:color w:val="auto"/>
        </w:rPr>
        <w:t>Insufficient funds / nonpayment.</w:t>
      </w:r>
      <w:r>
        <w:rPr>
          <w:rFonts w:ascii="Times New Roman" w:cs="Times New Roman" w:eastAsia="Times New Roman" w:hAnsi="Times New Roman"/>
          <w:sz w:val="18"/>
          <w:szCs w:val="18"/>
          <w:color w:val="auto"/>
        </w:rPr>
        <w:t xml:space="preserve"> If the Company lacks legally available funds on the redemption date, it must redeem the maximum number of shares it can redeem pro rata among holders and use later-available funds to redeem the remainder. If the Company does not pay the full redemption price when due, the unpaid amount bears interest at 18.0% per annum, and the unredeemed shares remain outstanding with continuing rights as provided in the Certificate of Designations.</w:t>
      </w:r>
    </w:p>
    <w:p>
      <w:pPr>
        <w:spacing w:after="0" w:line="15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u w:val="single" w:color="auto"/>
          <w:color w:val="auto"/>
        </w:rPr>
        <w:t>Breach remedies.</w:t>
      </w:r>
      <w:r>
        <w:rPr>
          <w:rFonts w:ascii="Times New Roman" w:cs="Times New Roman" w:eastAsia="Times New Roman" w:hAnsi="Times New Roman"/>
          <w:sz w:val="18"/>
          <w:szCs w:val="18"/>
          <w:color w:val="auto"/>
        </w:rPr>
        <w:t xml:space="preserve"> Specified events constitute a “Series A Preferred Stock Breach,” including failure to pay dividends when due, failure to make redemption or liquidation payments when due, breach of the protective provisions, and certain bankruptcy/insolvency events. During a continuing breach, the dividend rate increases by 3.0% per annum until cured, and upon certain bankruptcy/insolvency events all outstanding shares become subject to automatic redemption for the Series A redemption price to the extent permitted by law.</w:t>
      </w:r>
    </w:p>
    <w:p>
      <w:pPr>
        <w:spacing w:after="0" w:line="15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Series A Preferred Stock does not purport to be complete and is qualified in its entirety by reference to the Certificate of Designations, which is filed with this report as Exhibit 3.1 and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 3.03 above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6574790" cy="71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4790" cy="71120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 w:type="dxa"/>
            <w:vAlign w:val="bottom"/>
            <w:tcBorders>
              <w:top w:val="single" w:sz="8" w:color="auto"/>
              <w:bottom w:val="single" w:sz="8" w:color="auto"/>
            </w:tcBorders>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200" w:type="dxa"/>
            <w:vAlign w:val="bottom"/>
            <w:tcBorders>
              <w:top w:val="single" w:sz="8" w:color="auto"/>
              <w:bottom w:val="single" w:sz="8" w:color="auto"/>
            </w:tcBorders>
            <w:vMerge w:val="restart"/>
          </w:tcPr>
          <w:p>
            <w:pPr>
              <w:spacing w:after="0"/>
              <w:rPr>
                <w:sz w:val="15"/>
                <w:szCs w:val="15"/>
                <w:color w:val="auto"/>
              </w:rPr>
            </w:pPr>
          </w:p>
        </w:tc>
        <w:tc>
          <w:tcPr>
            <w:tcW w:w="200" w:type="dxa"/>
            <w:vAlign w:val="bottom"/>
            <w:tcBorders>
              <w:top w:val="single" w:sz="8" w:color="auto"/>
              <w:bottom w:val="single" w:sz="8" w:color="auto"/>
            </w:tcBorders>
            <w:vMerge w:val="restart"/>
          </w:tcPr>
          <w:p>
            <w:pPr>
              <w:spacing w:after="0"/>
              <w:rPr>
                <w:sz w:val="15"/>
                <w:szCs w:val="15"/>
                <w:color w:val="auto"/>
              </w:rPr>
            </w:pPr>
          </w:p>
        </w:tc>
        <w:tc>
          <w:tcPr>
            <w:tcW w:w="4860" w:type="dxa"/>
            <w:vAlign w:val="bottom"/>
            <w:tcBorders>
              <w:top w:val="single" w:sz="8" w:color="auto"/>
              <w:bottom w:val="single" w:sz="8" w:color="0000FF"/>
            </w:tcBorders>
            <w:gridSpan w:val="3"/>
          </w:tcPr>
          <w:p>
            <w:pPr>
              <w:spacing w:after="0" w:line="162" w:lineRule="exact"/>
              <w:rPr>
                <w:sz w:val="20"/>
                <w:szCs w:val="20"/>
                <w:color w:val="auto"/>
              </w:rPr>
            </w:pPr>
            <w:r>
              <w:rPr>
                <w:rFonts w:ascii="Times New Roman" w:cs="Times New Roman" w:eastAsia="Times New Roman" w:hAnsi="Times New Roman"/>
                <w:sz w:val="18"/>
                <w:szCs w:val="18"/>
                <w:color w:val="0000FF"/>
                <w:w w:val="99"/>
              </w:rPr>
              <w:t>Certificate of Designations of Series A Convertible Preferred Stock</w:t>
            </w:r>
          </w:p>
        </w:tc>
        <w:tc>
          <w:tcPr>
            <w:tcW w:w="2560" w:type="dxa"/>
            <w:vAlign w:val="bottom"/>
            <w:tcBorders>
              <w:top w:val="single" w:sz="8" w:color="auto"/>
              <w:bottom w:val="single" w:sz="8" w:color="auto"/>
            </w:tcBorders>
            <w:vMerge w:val="restart"/>
          </w:tcPr>
          <w:p>
            <w:pPr>
              <w:spacing w:after="0"/>
              <w:rPr>
                <w:sz w:val="15"/>
                <w:szCs w:val="15"/>
                <w:color w:val="auto"/>
              </w:rPr>
            </w:pPr>
          </w:p>
        </w:tc>
        <w:tc>
          <w:tcPr>
            <w:tcW w:w="2020" w:type="dxa"/>
            <w:vAlign w:val="bottom"/>
            <w:tcBorders>
              <w:top w:val="single" w:sz="8" w:color="auto"/>
              <w:bottom w:val="single" w:sz="8" w:color="auto"/>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4"/>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720" w:type="dxa"/>
            <w:vAlign w:val="bottom"/>
            <w:gridSpan w:val="5"/>
          </w:tcPr>
          <w:p>
            <w:pPr>
              <w:ind w:left="120"/>
              <w:spacing w:after="0" w:line="15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640" w:type="dxa"/>
            <w:vAlign w:val="bottom"/>
            <w:gridSpan w:val="6"/>
          </w:tcPr>
          <w:p>
            <w:pPr>
              <w:ind w:left="200"/>
              <w:spacing w:after="0" w:line="156" w:lineRule="exact"/>
              <w:rPr>
                <w:sz w:val="20"/>
                <w:szCs w:val="20"/>
                <w:color w:val="auto"/>
              </w:rPr>
            </w:pPr>
            <w:r>
              <w:rPr>
                <w:rFonts w:ascii="Times New Roman" w:cs="Times New Roman" w:eastAsia="Times New Roman" w:hAnsi="Times New Roman"/>
                <w:sz w:val="18"/>
                <w:szCs w:val="18"/>
                <w:color w:val="0000FF"/>
              </w:rPr>
              <w:t>Form of Securities Exchange Agreement dated April 7, 2026</w:t>
            </w:r>
          </w:p>
        </w:tc>
        <w:tc>
          <w:tcPr>
            <w:tcW w:w="0" w:type="dxa"/>
            <w:vAlign w:val="bottom"/>
          </w:tcPr>
          <w:p>
            <w:pPr>
              <w:spacing w:after="0"/>
              <w:rPr>
                <w:sz w:val="1"/>
                <w:szCs w:val="1"/>
                <w:color w:val="auto"/>
              </w:rPr>
            </w:pPr>
          </w:p>
        </w:tc>
      </w:tr>
      <w:tr>
        <w:trPr>
          <w:trHeight w:val="48"/>
        </w:trPr>
        <w:tc>
          <w:tcPr>
            <w:tcW w:w="120" w:type="dxa"/>
            <w:vAlign w:val="bottom"/>
            <w:tcBorders>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380" w:type="dxa"/>
            <w:vAlign w:val="bottom"/>
            <w:tcBorders>
              <w:top w:val="single" w:sz="8" w:color="0000FF"/>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720" w:type="dxa"/>
            <w:vAlign w:val="bottom"/>
            <w:gridSpan w:val="5"/>
          </w:tcPr>
          <w:p>
            <w:pPr>
              <w:ind w:left="120"/>
              <w:spacing w:after="0" w:line="15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9640" w:type="dxa"/>
            <w:vAlign w:val="bottom"/>
            <w:gridSpan w:val="6"/>
          </w:tcPr>
          <w:p>
            <w:pPr>
              <w:ind w:left="200"/>
              <w:spacing w:after="0" w:line="156" w:lineRule="exact"/>
              <w:rPr>
                <w:sz w:val="20"/>
                <w:szCs w:val="20"/>
                <w:color w:val="auto"/>
              </w:rPr>
            </w:pPr>
            <w:r>
              <w:rPr>
                <w:rFonts w:ascii="Times New Roman" w:cs="Times New Roman" w:eastAsia="Times New Roman" w:hAnsi="Times New Roman"/>
                <w:sz w:val="18"/>
                <w:szCs w:val="18"/>
                <w:color w:val="0000FF"/>
              </w:rPr>
              <w:t>Form of Preferred Stock Purchase Agreement dated April 7, 2026</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3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40" w:type="dxa"/>
            <w:vAlign w:val="bottom"/>
            <w:gridSpan w:val="6"/>
          </w:tcPr>
          <w:p>
            <w:pPr>
              <w:ind w:left="200"/>
              <w:spacing w:after="0" w:line="142" w:lineRule="exact"/>
              <w:rPr>
                <w:sz w:val="20"/>
                <w:szCs w:val="20"/>
                <w:color w:val="auto"/>
              </w:rPr>
            </w:pPr>
            <w:r>
              <w:rPr>
                <w:rFonts w:ascii="Times New Roman" w:cs="Times New Roman" w:eastAsia="Times New Roman" w:hAnsi="Times New Roman"/>
                <w:sz w:val="16"/>
                <w:szCs w:val="16"/>
                <w:color w:val="0000FF"/>
              </w:rPr>
              <w:t>Placement Agency Agreement, dated April 7, 2026 between the Company and Univest Securities, LLC</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20" w:hanging="80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47" w:lineRule="exact"/>
        <w:rPr>
          <w:rFonts w:ascii="Times New Roman" w:cs="Times New Roman" w:eastAsia="Times New Roman" w:hAnsi="Times New Roman"/>
          <w:sz w:val="18"/>
          <w:szCs w:val="18"/>
          <w:color w:val="auto"/>
        </w:rPr>
      </w:pPr>
    </w:p>
    <w:p>
      <w:pPr>
        <w:ind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have been omitted in accordance with Regulation S-K Item 601. The Company agrees to furnish an unredacted copy of the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8890</wp:posOffset>
            </wp:positionV>
            <wp:extent cx="1834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8360"/>
        <w:spacing w:after="0"/>
        <w:rPr>
          <w:sz w:val="20"/>
          <w:szCs w:val="20"/>
          <w:color w:val="auto"/>
        </w:rPr>
      </w:pPr>
      <w:r>
        <w:rPr>
          <w:rFonts w:ascii="Times New Roman" w:cs="Times New Roman" w:eastAsia="Times New Roman" w:hAnsi="Times New Roman"/>
          <w:sz w:val="18"/>
          <w:szCs w:val="18"/>
          <w:color w:val="auto"/>
        </w:rPr>
        <w:t>(Registrant)</w:t>
      </w:r>
    </w:p>
    <w:p>
      <w:pPr>
        <w:spacing w:after="0" w:line="151" w:lineRule="exact"/>
        <w:rPr>
          <w:sz w:val="20"/>
          <w:szCs w:val="20"/>
          <w:color w:val="auto"/>
        </w:rPr>
      </w:pPr>
    </w:p>
    <w:p>
      <w:pPr>
        <w:ind w:left="8360" w:right="1500" w:hanging="8342"/>
        <w:spacing w:after="0" w:line="252" w:lineRule="auto"/>
        <w:tabs>
          <w:tab w:leader="none" w:pos="8340" w:val="left"/>
        </w:tabs>
        <w:rPr>
          <w:sz w:val="20"/>
          <w:szCs w:val="20"/>
          <w:color w:val="auto"/>
        </w:rPr>
      </w:pPr>
      <w:r>
        <w:rPr>
          <w:rFonts w:ascii="Times New Roman" w:cs="Times New Roman" w:eastAsia="Times New Roman" w:hAnsi="Times New Roman"/>
          <w:sz w:val="18"/>
          <w:szCs w:val="18"/>
          <w:color w:val="auto"/>
        </w:rPr>
        <w:t>Date: April 8, 2026</w:t>
      </w:r>
      <w:r>
        <w:rPr>
          <w:sz w:val="20"/>
          <w:szCs w:val="20"/>
          <w:color w:val="auto"/>
        </w:rPr>
        <w:tab/>
      </w:r>
      <w:r>
        <w:rPr>
          <w:rFonts w:ascii="Times New Roman" w:cs="Times New Roman" w:eastAsia="Times New Roman" w:hAnsi="Times New Roman"/>
          <w:sz w:val="17"/>
          <w:szCs w:val="17"/>
          <w:color w:val="auto"/>
        </w:rPr>
        <w:t>/s/ David A. Frank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-120015</wp:posOffset>
            </wp:positionV>
            <wp:extent cx="1834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8360"/>
        <w:spacing w:after="0" w:line="235" w:lineRule="auto"/>
        <w:rPr>
          <w:sz w:val="20"/>
          <w:szCs w:val="20"/>
          <w:color w:val="auto"/>
        </w:rPr>
      </w:pPr>
      <w:r>
        <w:rPr>
          <w:rFonts w:ascii="Times New Roman" w:cs="Times New Roman" w:eastAsia="Times New Roman" w:hAnsi="Times New Roman"/>
          <w:sz w:val="18"/>
          <w:szCs w:val="18"/>
          <w:color w:val="auto"/>
        </w:rPr>
        <w:t>Interim Chief Executive Officer, Chief</w:t>
      </w:r>
    </w:p>
    <w:p>
      <w:pPr>
        <w:spacing w:after="0" w:line="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Financial Officer and Treasurer</w:t>
      </w:r>
    </w:p>
    <w:p>
      <w:pPr>
        <w:sectPr>
          <w:pgSz w:w="11900" w:h="16838" w:orient="portrait"/>
          <w:cols w:equalWidth="0" w:num="1">
            <w:col w:w="11200"/>
          </w:cols>
          <w:pgMar w:left="320" w:top="594" w:right="379" w:bottom="1440" w:gutter="0" w:footer="0" w:header="0"/>
        </w:sectPr>
      </w:pPr>
    </w:p>
    <w:bookmarkStart w:id="4" w:name="page5"/>
    <w:bookmarkEnd w:id="4"/>
    <w:p>
      <w:pPr>
        <w:ind w:left="7860"/>
        <w:spacing w:after="0"/>
        <w:rPr>
          <w:sz w:val="20"/>
          <w:szCs w:val="20"/>
          <w:color w:val="auto"/>
        </w:rPr>
      </w:pPr>
      <w:r>
        <w:rPr>
          <w:rFonts w:ascii="Times New Roman" w:cs="Times New Roman" w:eastAsia="Times New Roman" w:hAnsi="Times New Roman"/>
          <w:sz w:val="21"/>
          <w:szCs w:val="21"/>
          <w:color w:val="auto"/>
        </w:rPr>
        <w:t>Exhibit 3.1</w:t>
      </w:r>
    </w:p>
    <w:p>
      <w:pPr>
        <w:spacing w:after="0" w:line="140" w:lineRule="exact"/>
        <w:rPr>
          <w:sz w:val="20"/>
          <w:szCs w:val="20"/>
          <w:color w:val="auto"/>
        </w:rPr>
      </w:pPr>
    </w:p>
    <w:p>
      <w:pPr>
        <w:jc w:val="center"/>
        <w:ind w:left="180" w:right="199"/>
        <w:spacing w:after="0" w:line="278" w:lineRule="auto"/>
        <w:rPr>
          <w:sz w:val="20"/>
          <w:szCs w:val="20"/>
          <w:color w:val="auto"/>
        </w:rPr>
      </w:pPr>
      <w:r>
        <w:rPr>
          <w:rFonts w:ascii="Times New Roman" w:cs="Times New Roman" w:eastAsia="Times New Roman" w:hAnsi="Times New Roman"/>
          <w:sz w:val="29"/>
          <w:szCs w:val="29"/>
          <w:b w:val="1"/>
          <w:bCs w:val="1"/>
          <w:color w:val="auto"/>
        </w:rPr>
        <w:t>Certificate of Designations of Series A Convertible Preferred Stock of AquaBounty Technologies, Inc.</w:t>
      </w:r>
    </w:p>
    <w:p>
      <w:pPr>
        <w:spacing w:after="0" w:line="116"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Pursuant to Section 151 of the General Corporation Law of the State of Delaware, AquaBounty Technologies, Inc., a corporation organized and existing under the General Corporation Law of the 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in accordance with the provisions of Section 103 thereof, does hereby submit the following:</w:t>
      </w:r>
    </w:p>
    <w:p>
      <w:pPr>
        <w:spacing w:after="0" w:line="101" w:lineRule="exact"/>
        <w:rPr>
          <w:sz w:val="20"/>
          <w:szCs w:val="20"/>
          <w:color w:val="auto"/>
        </w:rPr>
      </w:pPr>
    </w:p>
    <w:p>
      <w:pPr>
        <w:jc w:val="both"/>
        <w:ind w:left="180" w:right="199" w:firstLine="648"/>
        <w:spacing w:after="0"/>
        <w:rPr>
          <w:sz w:val="20"/>
          <w:szCs w:val="20"/>
          <w:color w:val="auto"/>
        </w:rPr>
      </w:pPr>
      <w:r>
        <w:rPr>
          <w:rFonts w:ascii="Times New Roman" w:cs="Times New Roman" w:eastAsia="Times New Roman" w:hAnsi="Times New Roman"/>
          <w:sz w:val="22"/>
          <w:szCs w:val="22"/>
          <w:color w:val="auto"/>
        </w:rPr>
        <w:t>WHEREAS, the Certificate of Incorporation of the Corporation (the “</w:t>
      </w:r>
      <w:r>
        <w:rPr>
          <w:rFonts w:ascii="Times New Roman" w:cs="Times New Roman" w:eastAsia="Times New Roman" w:hAnsi="Times New Roman"/>
          <w:sz w:val="22"/>
          <w:szCs w:val="22"/>
          <w:b w:val="1"/>
          <w:bCs w:val="1"/>
          <w:color w:val="auto"/>
        </w:rPr>
        <w:t>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Incorporation</w:t>
      </w:r>
      <w:r>
        <w:rPr>
          <w:rFonts w:ascii="Times New Roman" w:cs="Times New Roman" w:eastAsia="Times New Roman" w:hAnsi="Times New Roman"/>
          <w:sz w:val="22"/>
          <w:szCs w:val="22"/>
          <w:color w:val="auto"/>
        </w:rPr>
        <w:t>”) authorizes the issuance of up to 5,000,000 shares of preferred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$0.01 per share, of the Corporation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in one or more series, and expressly authorizes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subject to limitations prescribed by law, to provide, out of the unissued shares of Preferred Stock, for series of Preferred Stock, and, with respect to each such series, to establish and fix the number of shares to be included in any series of Preferred Stock and the designation, rights, preferences, powers, restrictions, and limitations of the shares of such series; and</w:t>
      </w:r>
    </w:p>
    <w:p>
      <w:pPr>
        <w:spacing w:after="0" w:line="113" w:lineRule="exact"/>
        <w:rPr>
          <w:sz w:val="20"/>
          <w:szCs w:val="20"/>
          <w:color w:val="auto"/>
        </w:rPr>
      </w:pPr>
    </w:p>
    <w:p>
      <w:pPr>
        <w:jc w:val="both"/>
        <w:ind w:left="180" w:right="199" w:firstLine="648"/>
        <w:spacing w:after="0" w:line="250" w:lineRule="auto"/>
        <w:rPr>
          <w:sz w:val="20"/>
          <w:szCs w:val="20"/>
          <w:color w:val="auto"/>
        </w:rPr>
      </w:pPr>
      <w:r>
        <w:rPr>
          <w:rFonts w:ascii="Times New Roman" w:cs="Times New Roman" w:eastAsia="Times New Roman" w:hAnsi="Times New Roman"/>
          <w:sz w:val="22"/>
          <w:szCs w:val="22"/>
          <w:color w:val="auto"/>
        </w:rPr>
        <w:t>WHEREAS it is the desire of the Board to establish and fix the number of shares to be included in a new series of Preferred Stock and the designation, rights, preferences, and limitations of the shares of such new series.</w:t>
      </w:r>
    </w:p>
    <w:p>
      <w:pPr>
        <w:spacing w:after="0" w:line="100" w:lineRule="exact"/>
        <w:rPr>
          <w:sz w:val="20"/>
          <w:szCs w:val="20"/>
          <w:color w:val="auto"/>
        </w:rPr>
      </w:pPr>
    </w:p>
    <w:p>
      <w:pPr>
        <w:jc w:val="both"/>
        <w:ind w:left="180" w:right="199" w:firstLine="648"/>
        <w:spacing w:after="0" w:line="259" w:lineRule="auto"/>
        <w:rPr>
          <w:sz w:val="20"/>
          <w:szCs w:val="20"/>
          <w:color w:val="auto"/>
        </w:rPr>
      </w:pPr>
      <w:r>
        <w:rPr>
          <w:rFonts w:ascii="Times New Roman" w:cs="Times New Roman" w:eastAsia="Times New Roman" w:hAnsi="Times New Roman"/>
          <w:sz w:val="21"/>
          <w:szCs w:val="21"/>
          <w:color w:val="auto"/>
        </w:rPr>
        <w:t>NOW, THEREFORE, BE IT RESOLVED, that the Board does hereby provide for the issue of a series of Preferred Stock and does hereby in this Certificate of Designation (the “</w:t>
      </w:r>
      <w:r>
        <w:rPr>
          <w:rFonts w:ascii="Times New Roman" w:cs="Times New Roman" w:eastAsia="Times New Roman" w:hAnsi="Times New Roman"/>
          <w:sz w:val="21"/>
          <w:szCs w:val="21"/>
          <w:b w:val="1"/>
          <w:bCs w:val="1"/>
          <w:color w:val="auto"/>
        </w:rPr>
        <w:t>Certificate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Designation</w:t>
      </w:r>
      <w:r>
        <w:rPr>
          <w:rFonts w:ascii="Times New Roman" w:cs="Times New Roman" w:eastAsia="Times New Roman" w:hAnsi="Times New Roman"/>
          <w:sz w:val="21"/>
          <w:szCs w:val="21"/>
          <w:color w:val="auto"/>
        </w:rPr>
        <w:t>”) establish and fix and herein state and express the designation, rights, preferences,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powers, restrictions, and limitations of such series of Preferred Stock as follows:</w:t>
      </w:r>
    </w:p>
    <w:p>
      <w:pPr>
        <w:spacing w:after="0" w:line="308" w:lineRule="exact"/>
        <w:rPr>
          <w:sz w:val="20"/>
          <w:szCs w:val="20"/>
          <w:color w:val="auto"/>
        </w:rPr>
      </w:pPr>
    </w:p>
    <w:p>
      <w:pPr>
        <w:jc w:val="both"/>
        <w:ind w:left="180" w:right="199" w:firstLine="382"/>
        <w:spacing w:after="0" w:line="244" w:lineRule="auto"/>
        <w:tabs>
          <w:tab w:leader="none" w:pos="111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w:t>
      </w:r>
      <w:r>
        <w:rPr>
          <w:rFonts w:ascii="Times New Roman" w:cs="Times New Roman" w:eastAsia="Times New Roman" w:hAnsi="Times New Roman"/>
          <w:sz w:val="22"/>
          <w:szCs w:val="22"/>
          <w:color w:val="auto"/>
        </w:rPr>
        <w:t>. There shall be a series of Preferred Stock that shall be designated as “Series A Convertible Preferred Stock” (the “</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and the number of Shares constituting such series shall be 400,000. The rights, preferences, powers, restrictions, and limitations of the Series A Preferred Stock shall be as set forth herein.</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1160" w:hanging="598"/>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For purposes hereof, the following terms shall have the following</w:t>
      </w:r>
    </w:p>
    <w:p>
      <w:pPr>
        <w:spacing w:after="0" w:line="27"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Designation</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left="580" w:right="199" w:firstLine="1166"/>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any transaction by which another Person acquires Common Stock or any merger, consolidation, recapitalization, or reorganization of the Corporation with or into another Person (whether or not the Corporation is the surviving corporation), in each case that results in the inability of the holders of Common Stock (or other voting stock of the Corporation) immediately prior to such stock transaction, merger, consolidation, recapitalization, or reorganization to designate or elect any members of the board of directors (or its equivalent) of the resulting entity or its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365125</wp:posOffset>
            </wp:positionV>
            <wp:extent cx="552894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par value $0.001 per share, of the</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Corporation.</w:t>
      </w:r>
    </w:p>
    <w:p>
      <w:pPr>
        <w:spacing w:after="0" w:line="19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Deemed Outstanding</w:t>
      </w:r>
      <w:r>
        <w:rPr>
          <w:rFonts w:ascii="Times New Roman" w:cs="Times New Roman" w:eastAsia="Times New Roman" w:hAnsi="Times New Roman"/>
          <w:sz w:val="22"/>
          <w:szCs w:val="22"/>
          <w:color w:val="auto"/>
        </w:rPr>
        <w:t>” means, at any given time, the sum of</w:t>
      </w:r>
    </w:p>
    <w:p>
      <w:pPr>
        <w:spacing w:after="0" w:line="18" w:lineRule="exact"/>
        <w:rPr>
          <w:sz w:val="20"/>
          <w:szCs w:val="20"/>
          <w:color w:val="auto"/>
        </w:rPr>
      </w:pPr>
    </w:p>
    <w:p>
      <w:pPr>
        <w:jc w:val="both"/>
        <w:ind w:left="580" w:right="199" w:hanging="7"/>
        <w:spacing w:after="0" w:line="236" w:lineRule="auto"/>
        <w:tabs>
          <w:tab w:leader="none" w:pos="90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shares of Common Stock actually outstanding at such time, plus (b) the number of shares of Common Stock issuable upon exercise of Options actually outstanding at such time, plus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Common Stock Deemed Outstanding at any given time shall not include shares owned or held by or for the account of the Corporation or any of its wholly owned Subsidiaries.</w:t>
      </w:r>
    </w:p>
    <w:p>
      <w:pPr>
        <w:spacing w:after="0" w:line="190" w:lineRule="exact"/>
        <w:rPr>
          <w:sz w:val="20"/>
          <w:szCs w:val="20"/>
          <w:color w:val="auto"/>
        </w:rPr>
      </w:pPr>
    </w:p>
    <w:p>
      <w:pPr>
        <w:jc w:val="both"/>
        <w:ind w:left="580" w:right="199" w:firstLine="116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Securities</w:t>
      </w:r>
      <w:r>
        <w:rPr>
          <w:rFonts w:ascii="Times New Roman" w:cs="Times New Roman" w:eastAsia="Times New Roman" w:hAnsi="Times New Roman"/>
          <w:sz w:val="22"/>
          <w:szCs w:val="22"/>
          <w:color w:val="auto"/>
        </w:rPr>
        <w:t>” means any securities (directly or indirectly) convertible into or exchangeable for Common Stock, but excluding Options.</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Conversion Price</w:t>
      </w:r>
      <w:r>
        <w:rPr>
          <w:rFonts w:ascii="Times New Roman" w:cs="Times New Roman" w:eastAsia="Times New Roman" w:hAnsi="Times New Roman"/>
          <w:sz w:val="22"/>
          <w:szCs w:val="22"/>
          <w:u w:val="single" w:color="auto"/>
          <w:color w:val="0000EE"/>
        </w:rPr>
        <w:t>” has the meaning set forth in Section 8.1(a).</w:t>
      </w:r>
    </w:p>
    <w:p>
      <w:pPr>
        <w:spacing w:after="0" w:line="206" w:lineRule="exact"/>
        <w:rPr>
          <w:sz w:val="20"/>
          <w:szCs w:val="20"/>
          <w:color w:val="auto"/>
        </w:rPr>
      </w:pPr>
    </w:p>
    <w:p>
      <w:pPr>
        <w:jc w:val="both"/>
        <w:ind w:left="580" w:right="199" w:firstLine="1166"/>
        <w:spacing w:after="0" w:line="275" w:lineRule="auto"/>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Conversion Shares</w:t>
      </w:r>
      <w:r>
        <w:rPr>
          <w:rFonts w:ascii="Times New Roman" w:cs="Times New Roman" w:eastAsia="Times New Roman" w:hAnsi="Times New Roman"/>
          <w:sz w:val="22"/>
          <w:szCs w:val="22"/>
          <w:u w:val="single" w:color="auto"/>
          <w:color w:val="0000EE"/>
        </w:rPr>
        <w:t>” means the shares of Common Stock issuable upon conversion of the Series A Preferred Stock in accordance with the terms of Section 8.</w:t>
      </w:r>
    </w:p>
    <w:p>
      <w:pPr>
        <w:spacing w:after="0" w:line="136" w:lineRule="exact"/>
        <w:rPr>
          <w:sz w:val="20"/>
          <w:szCs w:val="20"/>
          <w:color w:val="auto"/>
        </w:rPr>
      </w:pPr>
    </w:p>
    <w:p>
      <w:pPr>
        <w:jc w:val="both"/>
        <w:ind w:left="580" w:right="199" w:firstLine="116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Date of Issuance</w:t>
      </w:r>
      <w:r>
        <w:rPr>
          <w:rFonts w:ascii="Times New Roman" w:cs="Times New Roman" w:eastAsia="Times New Roman" w:hAnsi="Times New Roman"/>
          <w:sz w:val="22"/>
          <w:szCs w:val="22"/>
          <w:color w:val="auto"/>
        </w:rPr>
        <w:t>” means, for any Share of Series A Preferred Stock, the date on which the Corporation initially issues such Share (without regard to any subsequent transfer of such Share or reissuance of the certificate(s) representing such Share).</w:t>
      </w:r>
    </w:p>
    <w:p>
      <w:pPr>
        <w:spacing w:after="0" w:line="162" w:lineRule="exact"/>
        <w:rPr>
          <w:sz w:val="20"/>
          <w:szCs w:val="20"/>
          <w:color w:val="auto"/>
        </w:rPr>
      </w:pPr>
    </w:p>
    <w:p>
      <w:pPr>
        <w:ind w:left="1740" w:right="1359"/>
        <w:spacing w:after="0" w:line="462" w:lineRule="auto"/>
        <w:rPr>
          <w:sz w:val="20"/>
          <w:szCs w:val="20"/>
          <w:color w:val="auto"/>
        </w:rPr>
      </w:pPr>
      <w:r>
        <w:rPr>
          <w:rFonts w:ascii="Times New Roman" w:cs="Times New Roman" w:eastAsia="Times New Roman" w:hAnsi="Times New Roman"/>
          <w:sz w:val="21"/>
          <w:szCs w:val="21"/>
          <w:u w:val="single" w:color="auto"/>
          <w:color w:val="0000EE"/>
        </w:rPr>
        <w:t>“</w:t>
      </w:r>
      <w:r>
        <w:rPr>
          <w:rFonts w:ascii="Times New Roman" w:cs="Times New Roman" w:eastAsia="Times New Roman" w:hAnsi="Times New Roman"/>
          <w:sz w:val="21"/>
          <w:szCs w:val="21"/>
          <w:b w:val="1"/>
          <w:bCs w:val="1"/>
          <w:u w:val="single" w:color="auto"/>
          <w:color w:val="0000EE"/>
        </w:rPr>
        <w:t>Deemed Liquidation</w:t>
      </w:r>
      <w:r>
        <w:rPr>
          <w:rFonts w:ascii="Times New Roman" w:cs="Times New Roman" w:eastAsia="Times New Roman" w:hAnsi="Times New Roman"/>
          <w:sz w:val="21"/>
          <w:szCs w:val="21"/>
          <w:u w:val="single" w:color="auto"/>
          <w:color w:val="0000EE"/>
        </w:rPr>
        <w:t>” has the meaning set forth in Section 5.1(b) “</w:t>
      </w:r>
      <w:r>
        <w:rPr>
          <w:rFonts w:ascii="Times New Roman" w:cs="Times New Roman" w:eastAsia="Times New Roman" w:hAnsi="Times New Roman"/>
          <w:sz w:val="21"/>
          <w:szCs w:val="21"/>
          <w:b w:val="1"/>
          <w:bCs w:val="1"/>
          <w:u w:val="single" w:color="auto"/>
          <w:color w:val="0000EE"/>
        </w:rPr>
        <w:t>Dividend Payment Date</w:t>
      </w:r>
      <w:r>
        <w:rPr>
          <w:rFonts w:ascii="Times New Roman" w:cs="Times New Roman" w:eastAsia="Times New Roman" w:hAnsi="Times New Roman"/>
          <w:sz w:val="21"/>
          <w:szCs w:val="21"/>
          <w:u w:val="single" w:color="auto"/>
          <w:color w:val="0000EE"/>
        </w:rPr>
        <w:t>” has the meaning set forth in Section 4.1.</w:t>
      </w:r>
    </w:p>
    <w:p>
      <w:pPr>
        <w:spacing w:after="0" w:line="2" w:lineRule="exact"/>
        <w:rPr>
          <w:sz w:val="20"/>
          <w:szCs w:val="20"/>
          <w:color w:val="auto"/>
        </w:rPr>
      </w:pPr>
    </w:p>
    <w:p>
      <w:pPr>
        <w:jc w:val="both"/>
        <w:ind w:left="580" w:right="199" w:firstLine="116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Securities</w:t>
      </w:r>
      <w:r>
        <w:rPr>
          <w:rFonts w:ascii="Times New Roman" w:cs="Times New Roman" w:eastAsia="Times New Roman" w:hAnsi="Times New Roman"/>
          <w:sz w:val="22"/>
          <w:szCs w:val="22"/>
          <w:color w:val="auto"/>
        </w:rPr>
        <w:t>” means, collectively, the Common Stock and any other class of equity securities of the Corporation.</w:t>
      </w:r>
    </w:p>
    <w:p>
      <w:pPr>
        <w:spacing w:after="0" w:line="16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Liquidation</w:t>
      </w:r>
      <w:r>
        <w:rPr>
          <w:rFonts w:ascii="Times New Roman" w:cs="Times New Roman" w:eastAsia="Times New Roman" w:hAnsi="Times New Roman"/>
          <w:sz w:val="22"/>
          <w:szCs w:val="22"/>
          <w:u w:val="single" w:color="auto"/>
          <w:color w:val="0000EE"/>
        </w:rPr>
        <w:t>” has the meaning set forth in Section 5.1(a).</w:t>
      </w:r>
    </w:p>
    <w:p>
      <w:pPr>
        <w:spacing w:after="0" w:line="206" w:lineRule="exact"/>
        <w:rPr>
          <w:sz w:val="20"/>
          <w:szCs w:val="20"/>
          <w:color w:val="auto"/>
        </w:rPr>
      </w:pPr>
    </w:p>
    <w:p>
      <w:pPr>
        <w:jc w:val="both"/>
        <w:ind w:left="580" w:right="199" w:firstLine="116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Value</w:t>
      </w:r>
      <w:r>
        <w:rPr>
          <w:rFonts w:ascii="Times New Roman" w:cs="Times New Roman" w:eastAsia="Times New Roman" w:hAnsi="Times New Roman"/>
          <w:sz w:val="22"/>
          <w:szCs w:val="22"/>
          <w:color w:val="auto"/>
        </w:rPr>
        <w:t>” means, with respect to any Share on any given date, $18.2580 (as adjusted for any stock splits, stock dividends, recapitalizations, or similar transaction with respect to the Series A Preferred Stock).</w:t>
      </w:r>
    </w:p>
    <w:p>
      <w:pPr>
        <w:spacing w:after="0" w:line="162" w:lineRule="exact"/>
        <w:rPr>
          <w:sz w:val="20"/>
          <w:szCs w:val="20"/>
          <w:color w:val="auto"/>
        </w:rPr>
      </w:pPr>
    </w:p>
    <w:p>
      <w:pPr>
        <w:jc w:val="both"/>
        <w:ind w:left="580" w:right="199" w:firstLine="116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means any warrants or other rights or options to subscribe for or purchase Common Stock or Convertible Securities.</w:t>
      </w:r>
    </w:p>
    <w:p>
      <w:pPr>
        <w:spacing w:after="0" w:line="136" w:lineRule="exact"/>
        <w:rPr>
          <w:sz w:val="20"/>
          <w:szCs w:val="20"/>
          <w:color w:val="auto"/>
        </w:rPr>
      </w:pPr>
    </w:p>
    <w:p>
      <w:pPr>
        <w:jc w:val="both"/>
        <w:ind w:left="580" w:right="199" w:firstLine="116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partnership, joint venture, limited liability company, governmental authority, unincorporated organization, trust, association, or other entity.</w:t>
      </w:r>
    </w:p>
    <w:p>
      <w:pPr>
        <w:spacing w:after="0" w:line="152" w:lineRule="exact"/>
        <w:rPr>
          <w:sz w:val="20"/>
          <w:szCs w:val="20"/>
          <w:color w:val="auto"/>
        </w:rPr>
      </w:pPr>
    </w:p>
    <w:p>
      <w:pPr>
        <w:ind w:left="180"/>
        <w:spacing w:after="0"/>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91440</wp:posOffset>
            </wp:positionV>
            <wp:extent cx="552894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has the meaning set forth in the Recitals.</w:t>
      </w:r>
    </w:p>
    <w:p>
      <w:pPr>
        <w:spacing w:after="0" w:line="207" w:lineRule="exact"/>
        <w:rPr>
          <w:sz w:val="20"/>
          <w:szCs w:val="20"/>
          <w:color w:val="auto"/>
        </w:rPr>
      </w:pPr>
    </w:p>
    <w:p>
      <w:pPr>
        <w:ind w:left="580" w:right="199" w:firstLine="1166"/>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 or any successor federal statute, and the rules and regulations thereunder, which shall be in effect at the time.</w:t>
      </w:r>
    </w:p>
    <w:p>
      <w:pPr>
        <w:spacing w:after="0" w:line="11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A Conversion Election Date</w:t>
      </w:r>
      <w:r>
        <w:rPr>
          <w:rFonts w:ascii="Times New Roman" w:cs="Times New Roman" w:eastAsia="Times New Roman" w:hAnsi="Times New Roman"/>
          <w:sz w:val="22"/>
          <w:szCs w:val="22"/>
          <w:u w:val="single" w:color="auto"/>
          <w:color w:val="0000EE"/>
        </w:rPr>
        <w:t>” has the meaning set forth in Section 7.2.</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A Election Notice</w:t>
      </w:r>
      <w:r>
        <w:rPr>
          <w:rFonts w:ascii="Times New Roman" w:cs="Times New Roman" w:eastAsia="Times New Roman" w:hAnsi="Times New Roman"/>
          <w:sz w:val="22"/>
          <w:szCs w:val="22"/>
          <w:u w:val="single" w:color="auto"/>
          <w:color w:val="0000EE"/>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A Preferred Stock</w:t>
      </w:r>
      <w:r>
        <w:rPr>
          <w:rFonts w:ascii="Times New Roman" w:cs="Times New Roman" w:eastAsia="Times New Roman" w:hAnsi="Times New Roman"/>
          <w:sz w:val="22"/>
          <w:szCs w:val="22"/>
          <w:u w:val="single" w:color="auto"/>
          <w:color w:val="0000EE"/>
        </w:rPr>
        <w:t>” has the meaning set forth in Section 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A Preferred Stock Breach</w:t>
      </w:r>
      <w:r>
        <w:rPr>
          <w:rFonts w:ascii="Times New Roman" w:cs="Times New Roman" w:eastAsia="Times New Roman" w:hAnsi="Times New Roman"/>
          <w:sz w:val="22"/>
          <w:szCs w:val="22"/>
          <w:u w:val="single" w:color="auto"/>
          <w:color w:val="0000EE"/>
        </w:rPr>
        <w:t>” has the meaning set forth in Section 9.1.</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A Redemption</w:t>
      </w:r>
      <w:r>
        <w:rPr>
          <w:rFonts w:ascii="Times New Roman" w:cs="Times New Roman" w:eastAsia="Times New Roman" w:hAnsi="Times New Roman"/>
          <w:sz w:val="22"/>
          <w:szCs w:val="22"/>
          <w:u w:val="single" w:color="auto"/>
          <w:color w:val="0000EE"/>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A Redemption Date</w:t>
      </w:r>
      <w:r>
        <w:rPr>
          <w:rFonts w:ascii="Times New Roman" w:cs="Times New Roman" w:eastAsia="Times New Roman" w:hAnsi="Times New Roman"/>
          <w:sz w:val="22"/>
          <w:szCs w:val="22"/>
          <w:u w:val="single" w:color="auto"/>
          <w:color w:val="0000EE"/>
        </w:rPr>
        <w:t>” has the meaning set forth in Section 7.2.</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A Redemption Notice</w:t>
      </w:r>
      <w:r>
        <w:rPr>
          <w:rFonts w:ascii="Times New Roman" w:cs="Times New Roman" w:eastAsia="Times New Roman" w:hAnsi="Times New Roman"/>
          <w:sz w:val="22"/>
          <w:szCs w:val="22"/>
          <w:u w:val="single" w:color="auto"/>
          <w:color w:val="0000EE"/>
        </w:rPr>
        <w:t>” has the meaning set forth in Section 7.2.</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Series A Redemption Price</w:t>
      </w:r>
      <w:r>
        <w:rPr>
          <w:rFonts w:ascii="Times New Roman" w:cs="Times New Roman" w:eastAsia="Times New Roman" w:hAnsi="Times New Roman"/>
          <w:sz w:val="22"/>
          <w:szCs w:val="22"/>
          <w:u w:val="single" w:color="auto"/>
          <w:color w:val="0000EE"/>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Series A Preferred Stock.</w:t>
      </w:r>
    </w:p>
    <w:p>
      <w:pPr>
        <w:spacing w:after="0" w:line="220" w:lineRule="exact"/>
        <w:rPr>
          <w:sz w:val="20"/>
          <w:szCs w:val="20"/>
          <w:color w:val="auto"/>
        </w:rPr>
      </w:pPr>
    </w:p>
    <w:p>
      <w:pPr>
        <w:jc w:val="both"/>
        <w:ind w:left="580" w:right="199" w:firstLine="116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other Person of which a majority of the outstanding shares or other equity interests having the power to vote for directors or comparable managers are owned, directly or indirectly, by the first Person.</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0000EE"/>
        </w:rPr>
        <w:t>“</w:t>
      </w:r>
      <w:r>
        <w:rPr>
          <w:rFonts w:ascii="Times New Roman" w:cs="Times New Roman" w:eastAsia="Times New Roman" w:hAnsi="Times New Roman"/>
          <w:sz w:val="22"/>
          <w:szCs w:val="22"/>
          <w:b w:val="1"/>
          <w:bCs w:val="1"/>
          <w:u w:val="single" w:color="auto"/>
          <w:color w:val="0000EE"/>
        </w:rPr>
        <w:t>Supermajority Interest</w:t>
      </w:r>
      <w:r>
        <w:rPr>
          <w:rFonts w:ascii="Times New Roman" w:cs="Times New Roman" w:eastAsia="Times New Roman" w:hAnsi="Times New Roman"/>
          <w:sz w:val="22"/>
          <w:szCs w:val="22"/>
          <w:u w:val="single" w:color="auto"/>
          <w:color w:val="0000EE"/>
        </w:rPr>
        <w:t>” has the meaning set forth in Section 6.2.</w:t>
      </w:r>
    </w:p>
    <w:p>
      <w:pPr>
        <w:spacing w:after="0" w:line="200" w:lineRule="exact"/>
        <w:rPr>
          <w:sz w:val="20"/>
          <w:szCs w:val="20"/>
          <w:color w:val="auto"/>
        </w:rPr>
      </w:pPr>
    </w:p>
    <w:p>
      <w:pPr>
        <w:spacing w:after="0" w:line="226" w:lineRule="exact"/>
        <w:rPr>
          <w:sz w:val="20"/>
          <w:szCs w:val="20"/>
          <w:color w:val="auto"/>
        </w:rPr>
      </w:pPr>
    </w:p>
    <w:p>
      <w:pPr>
        <w:jc w:val="both"/>
        <w:ind w:left="180" w:right="199" w:firstLine="382"/>
        <w:spacing w:after="0" w:line="250" w:lineRule="auto"/>
        <w:tabs>
          <w:tab w:leader="none" w:pos="111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Rank</w:t>
      </w:r>
      <w:r>
        <w:rPr>
          <w:rFonts w:ascii="Times New Roman" w:cs="Times New Roman" w:eastAsia="Times New Roman" w:hAnsi="Times New Roman"/>
          <w:sz w:val="22"/>
          <w:szCs w:val="22"/>
          <w:color w:val="auto"/>
        </w:rPr>
        <w:t>. With respect to payment of dividends and distribution of assets upon liquidation, dissolution, or winding up of the Corporation, whether voluntary or involuntary, all Shares of the Series A Preferred Stock shall rank senior to all Junior Securities.</w:t>
      </w:r>
    </w:p>
    <w:p>
      <w:pPr>
        <w:spacing w:after="0" w:line="383" w:lineRule="exact"/>
        <w:rPr>
          <w:rFonts w:ascii="Times New Roman" w:cs="Times New Roman" w:eastAsia="Times New Roman" w:hAnsi="Times New Roman"/>
          <w:sz w:val="22"/>
          <w:szCs w:val="22"/>
          <w:color w:val="auto"/>
        </w:rPr>
      </w:pPr>
    </w:p>
    <w:p>
      <w:pPr>
        <w:ind w:left="1120" w:hanging="558"/>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60" w:right="199" w:firstLine="504"/>
        <w:spacing w:after="0" w:line="251"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0000EE"/>
        </w:rPr>
        <w:t>Accrual and Payment of Dividends. From and after the Date of Issuance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Share, cumulative dividends on such Share shall accrue, whether or not declared by the Board and whether or not there are funds legally available for the payment of dividends, on a quarterly basis in arrears at the rate of 18.0% per annum, calculated solely on the Liquidation Value of such Share and not on any unpaid accrued or accumulated dividends. All accrued dividends on any Share shall be paid in cash when declared by the Board out of funds legally available therefor on a bi-annual basis the last day of October and April of each calendar year (each such date, a “</w:t>
      </w:r>
      <w:r>
        <w:rPr>
          <w:rFonts w:ascii="Times New Roman" w:cs="Times New Roman" w:eastAsia="Times New Roman" w:hAnsi="Times New Roman"/>
          <w:sz w:val="21"/>
          <w:szCs w:val="21"/>
          <w:b w:val="1"/>
          <w:bCs w:val="1"/>
          <w:u w:val="single" w:color="auto"/>
          <w:color w:val="0000EE"/>
        </w:rPr>
        <w:t>Dividend Payment Date</w:t>
      </w:r>
      <w:r>
        <w:rPr>
          <w:rFonts w:ascii="Times New Roman" w:cs="Times New Roman" w:eastAsia="Times New Roman" w:hAnsi="Times New Roman"/>
          <w:sz w:val="21"/>
          <w:szCs w:val="21"/>
          <w:u w:val="single" w:color="auto"/>
          <w:color w:val="0000EE"/>
        </w:rPr>
        <w:t>”); provided, that the Board may, in its reasonable discretion and to the extent in compliance with applicable law and applicable rules of a securities exchange, determine that all accrued dividends on any Share shall accumulate on the applicable Dividend Payment Date and remain accumulated dividends until paid pursuant hereto or converted pursuant to Section 8. All accrued and accumulated dividends on the</w:t>
      </w:r>
    </w:p>
    <w:p>
      <w:pPr>
        <w:spacing w:after="0" w:line="155" w:lineRule="exact"/>
        <w:rPr>
          <w:sz w:val="20"/>
          <w:szCs w:val="20"/>
          <w:color w:val="auto"/>
        </w:rPr>
      </w:pPr>
    </w:p>
    <w:p>
      <w:pPr>
        <w:ind w:left="1060"/>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jc w:val="both"/>
        <w:ind w:left="560" w:right="199"/>
        <w:spacing w:after="0" w:line="239" w:lineRule="auto"/>
        <w:rPr>
          <w:sz w:val="20"/>
          <w:szCs w:val="20"/>
          <w:color w:val="auto"/>
        </w:rPr>
      </w:pPr>
      <w:r>
        <w:rPr>
          <w:rFonts w:ascii="Times New Roman" w:cs="Times New Roman" w:eastAsia="Times New Roman" w:hAnsi="Times New Roman"/>
          <w:sz w:val="22"/>
          <w:szCs w:val="22"/>
          <w:u w:val="single" w:color="auto"/>
          <w:color w:val="0000EE"/>
        </w:rPr>
        <w:t>Shares shall be prior and in preference to any dividend on any Junior Securities and shall be fully declared and paid before any dividends are declared and paid, or any other distributions or redemptions are made, on any Junior Securities. Notwithstanding anything herein to the contrary, no dividends (including accrued or accumulated dividends) shall be payable or settleable in shares of Common Stock unless such issuance of shares is in accordance with and permitted under Nasdaq Listing Rule 5635(d) without stockholder approval (or stockholder approval has been obtained).</w:t>
      </w:r>
    </w:p>
    <w:p>
      <w:pPr>
        <w:spacing w:after="0" w:line="195" w:lineRule="exact"/>
        <w:rPr>
          <w:sz w:val="20"/>
          <w:szCs w:val="20"/>
          <w:color w:val="auto"/>
        </w:rPr>
      </w:pPr>
    </w:p>
    <w:p>
      <w:pPr>
        <w:jc w:val="both"/>
        <w:ind w:left="560" w:right="199" w:firstLine="504"/>
        <w:spacing w:after="0" w:line="24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Partial Dividend Payments</w:t>
      </w:r>
      <w:r>
        <w:rPr>
          <w:rFonts w:ascii="Times New Roman" w:cs="Times New Roman" w:eastAsia="Times New Roman" w:hAnsi="Times New Roman"/>
          <w:sz w:val="22"/>
          <w:szCs w:val="22"/>
          <w:color w:val="auto"/>
        </w:rPr>
        <w:t>. Except as otherwise provided herein, if at any time the Corporation pays less than the total amount of dividends then accrued and accumulated with respect to the Series A Preferred Stock, such payment shall be distributed pro rata among the holders thereof based upon the aggregate accrued and accumulated but unpaid dividends on the Shares held by each such holder.</w:t>
      </w:r>
    </w:p>
    <w:p>
      <w:pPr>
        <w:spacing w:after="0" w:line="393" w:lineRule="exact"/>
        <w:rPr>
          <w:sz w:val="20"/>
          <w:szCs w:val="20"/>
          <w:color w:val="auto"/>
        </w:rPr>
      </w:pPr>
    </w:p>
    <w:p>
      <w:pPr>
        <w:ind w:left="1120" w:hanging="558"/>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Liquidation; Deemed Liquidation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080" w:right="199" w:firstLine="643"/>
        <w:spacing w:after="0" w:line="249" w:lineRule="auto"/>
        <w:tabs>
          <w:tab w:leader="none" w:pos="2481"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Liquidation</w:t>
      </w:r>
      <w:r>
        <w:rPr>
          <w:rFonts w:ascii="Times New Roman" w:cs="Times New Roman" w:eastAsia="Times New Roman" w:hAnsi="Times New Roman"/>
          <w:sz w:val="21"/>
          <w:szCs w:val="21"/>
          <w:color w:val="auto"/>
        </w:rPr>
        <w:t>. In the event of any voluntary or involuntary liquidation, dissolution or winding up of the Corporation (collectively with a Deemed Liquidation, a “</w:t>
      </w:r>
      <w:r>
        <w:rPr>
          <w:rFonts w:ascii="Times New Roman" w:cs="Times New Roman" w:eastAsia="Times New Roman" w:hAnsi="Times New Roman"/>
          <w:sz w:val="21"/>
          <w:szCs w:val="21"/>
          <w:b w:val="1"/>
          <w:bCs w:val="1"/>
          <w:color w:val="auto"/>
        </w:rPr>
        <w:t>Liquidation</w:t>
      </w:r>
      <w:r>
        <w:rPr>
          <w:rFonts w:ascii="Times New Roman" w:cs="Times New Roman" w:eastAsia="Times New Roman" w:hAnsi="Times New Roman"/>
          <w:sz w:val="21"/>
          <w:szCs w:val="21"/>
          <w:color w:val="auto"/>
        </w:rPr>
        <w:t>”), the holders of Shares of Series A Preferred Stock then outstanding shall be entitled to be paid out of the assets of the Corporation available for distribution to its stockholders, before any payment shall be made to the holders of Junior Securities by reason of their ownership thereof, at each such holder’s election, (i) an amount in cash or</w:t>
      </w:r>
    </w:p>
    <w:p>
      <w:pPr>
        <w:spacing w:after="0" w:line="5" w:lineRule="exact"/>
        <w:rPr>
          <w:rFonts w:ascii="Times New Roman" w:cs="Times New Roman" w:eastAsia="Times New Roman" w:hAnsi="Times New Roman"/>
          <w:sz w:val="21"/>
          <w:szCs w:val="21"/>
          <w:color w:val="auto"/>
        </w:rPr>
      </w:pPr>
    </w:p>
    <w:p>
      <w:pPr>
        <w:ind w:left="1400" w:hanging="325"/>
        <w:spacing w:after="0"/>
        <w:tabs>
          <w:tab w:leader="none" w:pos="14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consideration at a fair market value (to be determined by the Board in good</w:t>
      </w:r>
    </w:p>
    <w:p>
      <w:pPr>
        <w:spacing w:after="0" w:line="15" w:lineRule="exact"/>
        <w:rPr>
          <w:sz w:val="20"/>
          <w:szCs w:val="20"/>
          <w:color w:val="auto"/>
        </w:rPr>
      </w:pPr>
    </w:p>
    <w:p>
      <w:pPr>
        <w:jc w:val="both"/>
        <w:ind w:left="1080" w:right="199"/>
        <w:spacing w:after="0" w:line="249" w:lineRule="exact"/>
        <w:rPr>
          <w:sz w:val="20"/>
          <w:szCs w:val="20"/>
          <w:color w:val="auto"/>
        </w:rPr>
      </w:pPr>
      <w:r>
        <w:rPr>
          <w:rFonts w:ascii="Times New Roman" w:cs="Times New Roman" w:eastAsia="Times New Roman" w:hAnsi="Times New Roman"/>
          <w:sz w:val="22"/>
          <w:szCs w:val="22"/>
          <w:color w:val="auto"/>
        </w:rPr>
        <w:t>faith), in each case of clauses (i) and (ii), equal to the aggregate Liquidation Value of all Shares held by such holder, plus all unpaid accrued and accumulated dividends on all such Shares (whether or not declared). For the avoidance of doubt, the Series A Preferred Stock shall be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participating and shall not participate with holders of Common Stock in any distribution beyond the amounts expressly provided herein.</w:t>
      </w:r>
    </w:p>
    <w:p>
      <w:pPr>
        <w:spacing w:after="0" w:line="190" w:lineRule="exact"/>
        <w:rPr>
          <w:sz w:val="20"/>
          <w:szCs w:val="20"/>
          <w:color w:val="auto"/>
        </w:rPr>
      </w:pPr>
    </w:p>
    <w:p>
      <w:pPr>
        <w:jc w:val="both"/>
        <w:ind w:left="1080" w:right="199" w:firstLine="643"/>
        <w:spacing w:after="0"/>
        <w:tabs>
          <w:tab w:leader="none" w:pos="245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Deemed Liquidation. The occurrence of a Change of Control (such event, a “</w:t>
      </w:r>
      <w:r>
        <w:rPr>
          <w:rFonts w:ascii="Times New Roman" w:cs="Times New Roman" w:eastAsia="Times New Roman" w:hAnsi="Times New Roman"/>
          <w:sz w:val="22"/>
          <w:szCs w:val="22"/>
          <w:b w:val="1"/>
          <w:bCs w:val="1"/>
          <w:u w:val="single" w:color="auto"/>
          <w:color w:val="0000EE"/>
        </w:rPr>
        <w:t>Deemed Liquidation</w:t>
      </w:r>
      <w:r>
        <w:rPr>
          <w:rFonts w:ascii="Times New Roman" w:cs="Times New Roman" w:eastAsia="Times New Roman" w:hAnsi="Times New Roman"/>
          <w:sz w:val="22"/>
          <w:szCs w:val="22"/>
          <w:u w:val="single" w:color="auto"/>
          <w:color w:val="0000EE"/>
        </w:rPr>
        <w:t>”) shall be deemed a Liquidation for purposes of this Section 5. Upon the consummation of any such Deemed Liquidation, the holders of the Series A Preferred Stock shall, in consideration for cancellation of their Shares, be entitled to the same rights such holders are entitled to under this Section 5 upon the occurrence of a Liquidation, including the right to receive the full preferential payment from the Corporation of the amounts payable with respect to the Series A Preferred Stock under Section 5.1(a) hereof.</w:t>
      </w:r>
    </w:p>
    <w:p>
      <w:pPr>
        <w:spacing w:after="0" w:line="177" w:lineRule="exact"/>
        <w:rPr>
          <w:sz w:val="20"/>
          <w:szCs w:val="20"/>
          <w:color w:val="auto"/>
        </w:rPr>
      </w:pPr>
    </w:p>
    <w:p>
      <w:pPr>
        <w:jc w:val="both"/>
        <w:ind w:left="560" w:right="199" w:firstLine="504"/>
        <w:spacing w:after="0" w:line="23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0000EE"/>
        </w:rPr>
        <w:t>Insufficient Assets. If upon any Liquidation the remaining assets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Corporation available for distribution to its stockholders shall be insufficient to pay the holders of the Shares of Series A Preferred Stock the full preferential amount to which they are entitled under Section 5.1, (a) the holders of the Shares shall share ratably in any distribution of the remaining assets and funds of the Corporation in proportion to the respective full preferential amounts which would otherwise be payable in respect of the Series A Preferred Stock in the aggregate upon such Liquidation (or Deemed Liquidation) if all</w:t>
      </w:r>
    </w:p>
    <w:p>
      <w:pPr>
        <w:spacing w:after="0" w:line="180" w:lineRule="exact"/>
        <w:rPr>
          <w:sz w:val="20"/>
          <w:szCs w:val="20"/>
          <w:color w:val="auto"/>
        </w:rPr>
      </w:pPr>
    </w:p>
    <w:p>
      <w:pPr>
        <w:ind w:left="1060"/>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jc w:val="both"/>
        <w:ind w:left="560" w:right="199"/>
        <w:spacing w:after="0" w:line="259" w:lineRule="auto"/>
        <w:rPr>
          <w:sz w:val="20"/>
          <w:szCs w:val="20"/>
          <w:color w:val="auto"/>
        </w:rPr>
      </w:pPr>
      <w:r>
        <w:rPr>
          <w:rFonts w:ascii="Times New Roman" w:cs="Times New Roman" w:eastAsia="Times New Roman" w:hAnsi="Times New Roman"/>
          <w:sz w:val="22"/>
          <w:szCs w:val="22"/>
          <w:u w:val="single" w:color="auto"/>
          <w:color w:val="0000EE"/>
        </w:rPr>
        <w:t>amounts payable on or with respect to such Shares were paid in full, and (b) the Corporation shall not make or agree to make any payments to the holders of Junior Securities.</w:t>
      </w:r>
    </w:p>
    <w:p>
      <w:pPr>
        <w:spacing w:after="0" w:line="170" w:lineRule="exact"/>
        <w:rPr>
          <w:sz w:val="20"/>
          <w:szCs w:val="20"/>
          <w:color w:val="auto"/>
        </w:rPr>
      </w:pPr>
    </w:p>
    <w:p>
      <w:pPr>
        <w:jc w:val="both"/>
        <w:ind w:left="560" w:right="199" w:firstLine="504"/>
        <w:spacing w:after="0" w:line="23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 Requirement</w:t>
      </w:r>
      <w:r>
        <w:rPr>
          <w:rFonts w:ascii="Times New Roman" w:cs="Times New Roman" w:eastAsia="Times New Roman" w:hAnsi="Times New Roman"/>
          <w:sz w:val="22"/>
          <w:szCs w:val="22"/>
          <w:color w:val="auto"/>
        </w:rPr>
        <w:t>. In the event of any Liquidation (or Deemed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of Shares of Series A Preferred Stock written notice of the proposed action. Such written notice shall describe the material terms and conditions of such proposed action, including a description of the stock, cash, and property to be received by the holders of Shares upon consummation of the proposed action and the date of delivery thereof. If any material change in the facts set forth in the initial notice shall occur, the Corporation shall promptly give written notice to each holder of Shares of such material change.</w:t>
      </w:r>
    </w:p>
    <w:p>
      <w:pPr>
        <w:spacing w:after="0" w:line="399" w:lineRule="exact"/>
        <w:rPr>
          <w:sz w:val="20"/>
          <w:szCs w:val="20"/>
          <w:color w:val="auto"/>
        </w:rPr>
      </w:pPr>
    </w:p>
    <w:p>
      <w:pPr>
        <w:ind w:left="1120" w:hanging="558"/>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60" w:right="199" w:firstLine="504"/>
        <w:spacing w:after="0" w:line="23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0000EE"/>
        </w:rPr>
        <w:t>Voting Generally. Each holder of outstanding Shares of Series A Preferred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shall be entitled to vote with holders of outstanding shares of Common Stock, voting together as a single class, with respect to any and all matters presented to the stockholders of the Corporation for their action or consideration (whether at a meeting of stockholders of the Corporation, by written action of stockholders in lieu of a meeting or otherwise), except as provided by law or by the provisions of Section 6.2 below. In any such vote, each Share of Series A Preferred Stock shall be entitled to a number of votes equal to the number of shares of Common Stock into which the Share is convertible pursuant to Section 8 herein as of the record date for such vote or written consent or, if there is no specified record date, as of the date of such vote or written consent. Each holder of outstanding Shares of Series A Preferred Stock shall be entitled to notice of all stockholder meetings (or requests for written consent) in accordance with the Corporation’s bylaws.</w:t>
      </w:r>
    </w:p>
    <w:p>
      <w:pPr>
        <w:spacing w:after="0" w:line="202" w:lineRule="exact"/>
        <w:rPr>
          <w:sz w:val="20"/>
          <w:szCs w:val="20"/>
          <w:color w:val="auto"/>
        </w:rPr>
      </w:pPr>
    </w:p>
    <w:p>
      <w:pPr>
        <w:jc w:val="both"/>
        <w:ind w:left="560" w:right="199" w:firstLine="504"/>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0000EE"/>
        </w:rPr>
        <w:t>Other Special Voting Rights. Without the prior written consent of holders of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less than two-thirds of the then total outstanding Shares of Series A Preferred Stock (a “</w:t>
      </w:r>
      <w:r>
        <w:rPr>
          <w:rFonts w:ascii="Times New Roman" w:cs="Times New Roman" w:eastAsia="Times New Roman" w:hAnsi="Times New Roman"/>
          <w:sz w:val="22"/>
          <w:szCs w:val="22"/>
          <w:b w:val="1"/>
          <w:bCs w:val="1"/>
          <w:u w:val="single" w:color="auto"/>
          <w:color w:val="0000EE"/>
        </w:rPr>
        <w:t>Supermajority Interest</w:t>
      </w:r>
      <w:r>
        <w:rPr>
          <w:rFonts w:ascii="Times New Roman" w:cs="Times New Roman" w:eastAsia="Times New Roman" w:hAnsi="Times New Roman"/>
          <w:sz w:val="22"/>
          <w:szCs w:val="22"/>
          <w:u w:val="single" w:color="auto"/>
          <w:color w:val="0000EE"/>
        </w:rPr>
        <w:t xml:space="preserve">”), voting separately as a single class with one vote per Share, in person or by proxy, either in writing without a meeting or at an annual or a special meeting of such holders, and any other applicable stockholder approval requirements required by law, the Corporation shall not take any of the actions or transactions described in this Section 6.2 (any such action or transaction without such prior written consent being null and void </w:t>
      </w:r>
      <w:r>
        <w:rPr>
          <w:rFonts w:ascii="Times New Roman" w:cs="Times New Roman" w:eastAsia="Times New Roman" w:hAnsi="Times New Roman"/>
          <w:sz w:val="22"/>
          <w:szCs w:val="22"/>
          <w:i w:val="1"/>
          <w:iCs w:val="1"/>
          <w:u w:val="single" w:color="auto"/>
          <w:color w:val="0000EE"/>
        </w:rPr>
        <w:t>ab initio</w:t>
      </w:r>
      <w:r>
        <w:rPr>
          <w:rFonts w:ascii="Times New Roman" w:cs="Times New Roman" w:eastAsia="Times New Roman" w:hAnsi="Times New Roman"/>
          <w:sz w:val="22"/>
          <w:szCs w:val="22"/>
          <w:u w:val="single" w:color="auto"/>
          <w:color w:val="0000EE"/>
        </w:rPr>
        <w:t xml:space="preserve"> and of no force or effect) as follows:</w:t>
      </w:r>
    </w:p>
    <w:p>
      <w:pPr>
        <w:spacing w:after="0" w:line="177" w:lineRule="exact"/>
        <w:rPr>
          <w:sz w:val="20"/>
          <w:szCs w:val="20"/>
          <w:color w:val="auto"/>
        </w:rPr>
      </w:pPr>
    </w:p>
    <w:p>
      <w:pPr>
        <w:jc w:val="both"/>
        <w:ind w:left="1080" w:right="199" w:firstLine="643"/>
        <w:spacing w:after="0" w:line="243" w:lineRule="auto"/>
        <w:tabs>
          <w:tab w:leader="none" w:pos="248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or authorize the creation of, any additional class or series of capital stock of the Corporation (or any security convertible into or exercisable for any class or series of capital stock of the Corporation) that ranks superior to the Series A Preferred Stock in rights, preferences, or privileges (including with respect to dividends, liquidation, redemption, or voting);</w:t>
      </w:r>
    </w:p>
    <w:p>
      <w:pPr>
        <w:spacing w:after="0" w:line="177" w:lineRule="exact"/>
        <w:rPr>
          <w:rFonts w:ascii="Times New Roman" w:cs="Times New Roman" w:eastAsia="Times New Roman" w:hAnsi="Times New Roman"/>
          <w:sz w:val="22"/>
          <w:szCs w:val="22"/>
          <w:color w:val="auto"/>
        </w:rPr>
      </w:pPr>
    </w:p>
    <w:p>
      <w:pPr>
        <w:ind w:left="1080" w:right="199" w:firstLine="643"/>
        <w:spacing w:after="0" w:line="258" w:lineRule="auto"/>
        <w:tabs>
          <w:tab w:leader="none" w:pos="247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decrease the number of authorized shares of any series of Preferred Stock or authorize the issuance of or issue any shares of Preferred Stock that</w:t>
      </w:r>
    </w:p>
    <w:p>
      <w:pPr>
        <w:spacing w:after="0" w:line="158" w:lineRule="exact"/>
        <w:rPr>
          <w:sz w:val="20"/>
          <w:szCs w:val="20"/>
          <w:color w:val="auto"/>
        </w:rPr>
      </w:pPr>
    </w:p>
    <w:p>
      <w:pPr>
        <w:ind w:left="1720"/>
        <w:spacing w:after="0"/>
        <w:rPr>
          <w:sz w:val="20"/>
          <w:szCs w:val="20"/>
          <w:color w:val="auto"/>
        </w:rPr>
      </w:pPr>
      <w:r>
        <w:rPr>
          <w:rFonts w:ascii="Calibri" w:cs="Calibri" w:eastAsia="Calibri" w:hAnsi="Calibri"/>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1080" w:right="199"/>
        <w:spacing w:after="0" w:line="259" w:lineRule="auto"/>
        <w:rPr>
          <w:sz w:val="20"/>
          <w:szCs w:val="20"/>
          <w:color w:val="auto"/>
        </w:rPr>
      </w:pPr>
      <w:r>
        <w:rPr>
          <w:rFonts w:ascii="Times New Roman" w:cs="Times New Roman" w:eastAsia="Times New Roman" w:hAnsi="Times New Roman"/>
          <w:sz w:val="22"/>
          <w:szCs w:val="22"/>
          <w:color w:val="auto"/>
        </w:rPr>
        <w:t>rank superior to the Series A Preferred Stock in rights, preferences, or privileges (including with respect to dividends, liquidation, redemption, or voting);</w:t>
      </w:r>
    </w:p>
    <w:p>
      <w:pPr>
        <w:spacing w:after="0" w:line="170" w:lineRule="exact"/>
        <w:rPr>
          <w:sz w:val="20"/>
          <w:szCs w:val="20"/>
          <w:color w:val="auto"/>
        </w:rPr>
      </w:pPr>
    </w:p>
    <w:p>
      <w:pPr>
        <w:jc w:val="both"/>
        <w:ind w:left="1080" w:right="199" w:firstLine="643"/>
        <w:spacing w:after="0"/>
        <w:tabs>
          <w:tab w:leader="none" w:pos="246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contemplated by this Certificate of Designation, amend, alter, modify, or repeal the Certificate of Incorporation, this Certificate of Designation, or the by-laws of the Corporation, including the amendment of the Certificate of Incorporation by the adoption or amendment of any Certificate of Designation or similar document (other than any adoption of a Certificate of Designation with respect to the issuance of any shares of Preferred Stock that do not rank superior to the Series A Preferred Stock in rights, preferences, or privileges (including with respect to dividends, liquidation, redemption, or voting));</w:t>
      </w:r>
    </w:p>
    <w:p>
      <w:pPr>
        <w:spacing w:after="0" w:line="176" w:lineRule="exact"/>
        <w:rPr>
          <w:rFonts w:ascii="Times New Roman" w:cs="Times New Roman" w:eastAsia="Times New Roman" w:hAnsi="Times New Roman"/>
          <w:sz w:val="22"/>
          <w:szCs w:val="22"/>
          <w:color w:val="auto"/>
        </w:rPr>
      </w:pPr>
    </w:p>
    <w:p>
      <w:pPr>
        <w:jc w:val="both"/>
        <w:ind w:left="1080" w:right="199" w:firstLine="643"/>
        <w:spacing w:after="0"/>
        <w:tabs>
          <w:tab w:leader="none" w:pos="245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redeem, purchase, or otherwise acquire or pay or declare any dividend or other distribution on (or pay into or set aside for a sinking fund for any such purpose) any capital stock of the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this restriction shall not apply to the redemption or repurchase of or the payment of dividends on Shares of Series A Preferred Stock pursuant hereto or the redemption or repurchase of or the payment of dividends on shares of Preferred Stock that do not rank superior to the Series A Preferred Stock in rights, preferences, or privileges (including with respect to dividends, liquidation, redemption, or voting); or</w:t>
      </w:r>
    </w:p>
    <w:p>
      <w:pPr>
        <w:spacing w:after="0" w:line="176" w:lineRule="exact"/>
        <w:rPr>
          <w:rFonts w:ascii="Times New Roman" w:cs="Times New Roman" w:eastAsia="Times New Roman" w:hAnsi="Times New Roman"/>
          <w:sz w:val="22"/>
          <w:szCs w:val="22"/>
          <w:color w:val="auto"/>
        </w:rPr>
      </w:pPr>
    </w:p>
    <w:p>
      <w:pPr>
        <w:ind w:left="2440" w:hanging="717"/>
        <w:spacing w:after="0"/>
        <w:tabs>
          <w:tab w:leader="none" w:pos="24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or commit to do any of the foregoing.</w:t>
      </w:r>
    </w:p>
    <w:p>
      <w:pPr>
        <w:spacing w:after="0" w:line="200" w:lineRule="exact"/>
        <w:rPr>
          <w:sz w:val="20"/>
          <w:szCs w:val="20"/>
          <w:color w:val="auto"/>
        </w:rPr>
      </w:pPr>
    </w:p>
    <w:p>
      <w:pPr>
        <w:spacing w:after="0" w:line="222" w:lineRule="exact"/>
        <w:rPr>
          <w:sz w:val="20"/>
          <w:szCs w:val="20"/>
          <w:color w:val="auto"/>
        </w:rPr>
      </w:pPr>
    </w:p>
    <w:p>
      <w:pPr>
        <w:ind w:left="1120" w:hanging="558"/>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60" w:right="199" w:firstLine="504"/>
        <w:spacing w:after="0" w:line="23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0000EE"/>
        </w:rPr>
        <w:t>Redemption. At any time on or after the date of the closing of a debt or 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financing that results in proceeds to the Corporation in excess of $20,000,000, the holders of not less than a Supermajority Interest shall have the right to elect to have, out of funds legally available therefor, all (but not less than all) of the then outstanding Shares of Series A Preferred Stock redeemed by the Corporation (a “</w:t>
      </w:r>
      <w:r>
        <w:rPr>
          <w:rFonts w:ascii="Times New Roman" w:cs="Times New Roman" w:eastAsia="Times New Roman" w:hAnsi="Times New Roman"/>
          <w:sz w:val="22"/>
          <w:szCs w:val="22"/>
          <w:b w:val="1"/>
          <w:bCs w:val="1"/>
          <w:u w:val="single" w:color="auto"/>
          <w:color w:val="0000EE"/>
        </w:rPr>
        <w:t>Series A Redemption</w:t>
      </w:r>
      <w:r>
        <w:rPr>
          <w:rFonts w:ascii="Times New Roman" w:cs="Times New Roman" w:eastAsia="Times New Roman" w:hAnsi="Times New Roman"/>
          <w:sz w:val="22"/>
          <w:szCs w:val="22"/>
          <w:u w:val="single" w:color="auto"/>
          <w:color w:val="0000EE"/>
        </w:rPr>
        <w:t>”) for a price per Share equal to the Liquidation Value for such Share, plus all unpaid accrued and accumulated dividends on such Share (whether or not declared) (the “</w:t>
      </w:r>
      <w:r>
        <w:rPr>
          <w:rFonts w:ascii="Times New Roman" w:cs="Times New Roman" w:eastAsia="Times New Roman" w:hAnsi="Times New Roman"/>
          <w:sz w:val="22"/>
          <w:szCs w:val="22"/>
          <w:b w:val="1"/>
          <w:bCs w:val="1"/>
          <w:u w:val="single" w:color="auto"/>
          <w:color w:val="0000EE"/>
        </w:rPr>
        <w:t>Series A Redemption Price</w:t>
      </w:r>
      <w:r>
        <w:rPr>
          <w:rFonts w:ascii="Times New Roman" w:cs="Times New Roman" w:eastAsia="Times New Roman" w:hAnsi="Times New Roman"/>
          <w:sz w:val="22"/>
          <w:szCs w:val="22"/>
          <w:u w:val="single" w:color="auto"/>
          <w:color w:val="0000EE"/>
        </w:rPr>
        <w:t>”). Any such Series A Redemption shall occur not more than ninety (90) days following receipt by the Corporation of a written election notice (the “</w:t>
      </w:r>
      <w:r>
        <w:rPr>
          <w:rFonts w:ascii="Times New Roman" w:cs="Times New Roman" w:eastAsia="Times New Roman" w:hAnsi="Times New Roman"/>
          <w:sz w:val="22"/>
          <w:szCs w:val="22"/>
          <w:b w:val="1"/>
          <w:bCs w:val="1"/>
          <w:u w:val="single" w:color="auto"/>
          <w:color w:val="0000EE"/>
        </w:rPr>
        <w:t>Series A Election Notice</w:t>
      </w:r>
      <w:r>
        <w:rPr>
          <w:rFonts w:ascii="Times New Roman" w:cs="Times New Roman" w:eastAsia="Times New Roman" w:hAnsi="Times New Roman"/>
          <w:sz w:val="22"/>
          <w:szCs w:val="22"/>
          <w:u w:val="single" w:color="auto"/>
          <w:color w:val="0000EE"/>
        </w:rPr>
        <w:t>”) from the holders of not less than a Supermajority Interest. Upon receipt of a Series A Election Notice, all holders of Series A Preferred Stock shall be deemed to have elected to have all of their Shares redeemed pursuant to this Section 7 and such election shall bind all holders of Series A Preferred Stock; provided, that notwithstanding anything to the contrary contained herein, each holder of Shares of Series A Preferred Stock shall have the right to elect prior to the Series A Conversion Election Date to give effect to the conversion rights contained in Section 8 instead of giving effect to the provisions contained in this Section 7 with respect to the Shares of Series A Preferred Stock held by such holder. In exchange for the surrender to the Corporation by the respective holders of Shares of Series A Preferred Stock of their certificate or certificates representing such Shares in accordance with Section 7.4 below, the aggregate Series A Redemption Price for all Shares held by each holder of Shares shall be payable in cash in immediately available funds to the respective holders of the Series A Preferred Stock on the applicable Series A Redemption Date.</w:t>
      </w: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Calibri" w:cs="Calibri" w:eastAsia="Calibri" w:hAnsi="Calibri"/>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91440</wp:posOffset>
            </wp:positionV>
            <wp:extent cx="552894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 w:name="page11"/>
    <w:bookmarkEnd w:id="10"/>
    <w:p>
      <w:pPr>
        <w:ind w:left="1060"/>
        <w:spacing w:after="0"/>
        <w:tabs>
          <w:tab w:leader="none" w:pos="17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As promptly as practicable, but in no event later than ten</w:t>
      </w:r>
    </w:p>
    <w:p>
      <w:pPr>
        <w:spacing w:after="0" w:line="15" w:lineRule="exact"/>
        <w:rPr>
          <w:sz w:val="20"/>
          <w:szCs w:val="20"/>
          <w:color w:val="auto"/>
        </w:rPr>
      </w:pPr>
    </w:p>
    <w:p>
      <w:pPr>
        <w:jc w:val="both"/>
        <w:ind w:left="560" w:right="199" w:firstLine="2"/>
        <w:spacing w:after="0" w:line="256" w:lineRule="auto"/>
        <w:tabs>
          <w:tab w:leader="none" w:pos="99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receipt of a Series A Election Notice, the Corporation shall send written notice (the “</w:t>
      </w:r>
      <w:r>
        <w:rPr>
          <w:rFonts w:ascii="Times New Roman" w:cs="Times New Roman" w:eastAsia="Times New Roman" w:hAnsi="Times New Roman"/>
          <w:sz w:val="21"/>
          <w:szCs w:val="21"/>
          <w:b w:val="1"/>
          <w:bCs w:val="1"/>
          <w:color w:val="auto"/>
        </w:rPr>
        <w:t>Series A Redemption Notice</w:t>
      </w:r>
      <w:r>
        <w:rPr>
          <w:rFonts w:ascii="Times New Roman" w:cs="Times New Roman" w:eastAsia="Times New Roman" w:hAnsi="Times New Roman"/>
          <w:sz w:val="21"/>
          <w:szCs w:val="21"/>
          <w:color w:val="auto"/>
        </w:rPr>
        <w:t>”) of its receipt of a Series A Election Notice to each holder of record of Series A Preferred Stock. Each Series A Redemption Notice shall state:</w:t>
      </w:r>
    </w:p>
    <w:p>
      <w:pPr>
        <w:spacing w:after="0" w:line="175" w:lineRule="exact"/>
        <w:rPr>
          <w:rFonts w:ascii="Times New Roman" w:cs="Times New Roman" w:eastAsia="Times New Roman" w:hAnsi="Times New Roman"/>
          <w:sz w:val="21"/>
          <w:szCs w:val="21"/>
          <w:color w:val="auto"/>
        </w:rPr>
      </w:pPr>
    </w:p>
    <w:p>
      <w:pPr>
        <w:jc w:val="both"/>
        <w:ind w:left="1080" w:right="199" w:firstLine="643"/>
        <w:spacing w:after="0" w:line="250" w:lineRule="auto"/>
        <w:tabs>
          <w:tab w:leader="none" w:pos="24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Series A Preferred Stock held by the holder that the Corporation shall redeem on the Series A Redemption Date specified in the Series A Redemption Notice;</w:t>
      </w:r>
    </w:p>
    <w:p>
      <w:pPr>
        <w:spacing w:after="0" w:line="167" w:lineRule="exact"/>
        <w:rPr>
          <w:rFonts w:ascii="Times New Roman" w:cs="Times New Roman" w:eastAsia="Times New Roman" w:hAnsi="Times New Roman"/>
          <w:sz w:val="22"/>
          <w:szCs w:val="22"/>
          <w:color w:val="auto"/>
        </w:rPr>
      </w:pPr>
    </w:p>
    <w:p>
      <w:pPr>
        <w:jc w:val="both"/>
        <w:ind w:left="1080" w:right="199" w:firstLine="643"/>
        <w:spacing w:after="0" w:line="244" w:lineRule="auto"/>
        <w:tabs>
          <w:tab w:leader="none" w:pos="246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the date of the closing of the redemption, which pursuant to Section 7.1 shall be no later than ninety (90) days following receipt by the Corporation of the Series A Election Notice (the applicable date, the “</w:t>
      </w:r>
      <w:r>
        <w:rPr>
          <w:rFonts w:ascii="Times New Roman" w:cs="Times New Roman" w:eastAsia="Times New Roman" w:hAnsi="Times New Roman"/>
          <w:sz w:val="22"/>
          <w:szCs w:val="22"/>
          <w:b w:val="1"/>
          <w:bCs w:val="1"/>
          <w:u w:val="single" w:color="auto"/>
          <w:color w:val="0000EE"/>
        </w:rPr>
        <w:t>Series A Redemption Date</w:t>
      </w:r>
      <w:r>
        <w:rPr>
          <w:rFonts w:ascii="Times New Roman" w:cs="Times New Roman" w:eastAsia="Times New Roman" w:hAnsi="Times New Roman"/>
          <w:sz w:val="22"/>
          <w:szCs w:val="22"/>
          <w:u w:val="single" w:color="auto"/>
          <w:color w:val="0000EE"/>
        </w:rPr>
        <w:t>”) and the Series A Redemption Price;</w:t>
      </w:r>
    </w:p>
    <w:p>
      <w:pPr>
        <w:spacing w:after="0" w:line="186" w:lineRule="exact"/>
        <w:rPr>
          <w:rFonts w:ascii="Times New Roman" w:cs="Times New Roman" w:eastAsia="Times New Roman" w:hAnsi="Times New Roman"/>
          <w:sz w:val="22"/>
          <w:szCs w:val="22"/>
          <w:color w:val="auto"/>
        </w:rPr>
      </w:pPr>
    </w:p>
    <w:p>
      <w:pPr>
        <w:jc w:val="both"/>
        <w:ind w:left="1080" w:right="199" w:firstLine="643"/>
        <w:spacing w:after="0" w:line="268" w:lineRule="auto"/>
        <w:tabs>
          <w:tab w:leader="none" w:pos="2454"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the date upon which the holder’s right to convert its Shares pursuant to Section 8 terminates, which date shall be no earlier than five (5) days before the Series A Redemption Date (the applicable date, the “</w:t>
      </w:r>
      <w:r>
        <w:rPr>
          <w:rFonts w:ascii="Times New Roman" w:cs="Times New Roman" w:eastAsia="Times New Roman" w:hAnsi="Times New Roman"/>
          <w:sz w:val="21"/>
          <w:szCs w:val="21"/>
          <w:b w:val="1"/>
          <w:bCs w:val="1"/>
          <w:u w:val="single" w:color="auto"/>
          <w:color w:val="0000EE"/>
        </w:rPr>
        <w:t>Series A Conversion Election Date</w:t>
      </w:r>
      <w:r>
        <w:rPr>
          <w:rFonts w:ascii="Times New Roman" w:cs="Times New Roman" w:eastAsia="Times New Roman" w:hAnsi="Times New Roman"/>
          <w:sz w:val="21"/>
          <w:szCs w:val="21"/>
          <w:u w:val="single" w:color="auto"/>
          <w:color w:val="0000EE"/>
        </w:rPr>
        <w:t>”); and</w:t>
      </w:r>
    </w:p>
    <w:p>
      <w:pPr>
        <w:spacing w:after="0" w:line="149" w:lineRule="exact"/>
        <w:rPr>
          <w:rFonts w:ascii="Times New Roman" w:cs="Times New Roman" w:eastAsia="Times New Roman" w:hAnsi="Times New Roman"/>
          <w:sz w:val="21"/>
          <w:szCs w:val="21"/>
          <w:color w:val="auto"/>
        </w:rPr>
      </w:pPr>
    </w:p>
    <w:p>
      <w:pPr>
        <w:jc w:val="both"/>
        <w:ind w:left="1080" w:right="199" w:firstLine="643"/>
        <w:spacing w:after="0" w:line="250" w:lineRule="auto"/>
        <w:tabs>
          <w:tab w:leader="none" w:pos="250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manner and place designated for surrender by the holder to the Corporation of his, her or its certificate or certificates representing the Shares of Series A Preferred Stock to be redeemed.</w:t>
      </w:r>
    </w:p>
    <w:p>
      <w:pPr>
        <w:spacing w:after="0" w:line="168"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Insufficient Funds; Remedies for Nonpayment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080" w:right="199" w:firstLine="643"/>
        <w:spacing w:after="0" w:line="249" w:lineRule="auto"/>
        <w:tabs>
          <w:tab w:leader="none" w:pos="24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 xml:space="preserve">Insufficient Funds. If on any Series A Redemption Date, the assets of the Corporation legally available are insufficient to pay the full Series A Redemption Price for the total number of Shares elected to be redeemed pursuant to Section 7.1, the Corporation shall (i) take all reasonably appropriate action, as determined by the Board in its reasonable discretion, within its means to maximize the assets legally available for paying the Series A Redemption Price, (ii) redeem out of all such assets legally available therefor on the applicable Series A Redemption Date the maximum possible number of Shares that it can redeem on such date, </w:t>
      </w:r>
      <w:r>
        <w:rPr>
          <w:rFonts w:ascii="Times New Roman" w:cs="Times New Roman" w:eastAsia="Times New Roman" w:hAnsi="Times New Roman"/>
          <w:sz w:val="21"/>
          <w:szCs w:val="21"/>
          <w:i w:val="1"/>
          <w:iCs w:val="1"/>
          <w:u w:val="single" w:color="auto"/>
          <w:color w:val="0000EE"/>
        </w:rPr>
        <w:t>pro rata</w:t>
      </w:r>
      <w:r>
        <w:rPr>
          <w:rFonts w:ascii="Times New Roman" w:cs="Times New Roman" w:eastAsia="Times New Roman" w:hAnsi="Times New Roman"/>
          <w:sz w:val="21"/>
          <w:szCs w:val="21"/>
          <w:u w:val="single" w:color="auto"/>
          <w:color w:val="0000EE"/>
        </w:rPr>
        <w:t xml:space="preserve"> among the holders of such Shares to be redeemed in proportion to the aggregate number of Shares elected to be redeemed by each such holder on the applicable Series A Redemption Date and (iii) following the applicable Series A Redemption Date, at any time and from time to time when additional assets of the Corporation become available to redeem the remaining Shares, the Corporation shall, to the extent reasonably practicable, immediately use such assets to pay the remaining balance of the aggregate applicable Series A Redemption Price.</w:t>
      </w:r>
    </w:p>
    <w:p>
      <w:pPr>
        <w:spacing w:after="0" w:line="177" w:lineRule="exact"/>
        <w:rPr>
          <w:rFonts w:ascii="Times New Roman" w:cs="Times New Roman" w:eastAsia="Times New Roman" w:hAnsi="Times New Roman"/>
          <w:sz w:val="21"/>
          <w:szCs w:val="21"/>
          <w:color w:val="auto"/>
        </w:rPr>
      </w:pPr>
    </w:p>
    <w:p>
      <w:pPr>
        <w:jc w:val="both"/>
        <w:ind w:left="1080" w:right="199" w:firstLine="643"/>
        <w:spacing w:after="0" w:line="241" w:lineRule="auto"/>
        <w:tabs>
          <w:tab w:leader="none" w:pos="24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Remedies for Nonpayment. If on any Series A Redemption Date, all of the Shares elected to be redeemed pursuant to a Series A Election Notice are not redeemed in full by the Corporation by paying the entire Series A Redemption Price, until such Shares are fully redeemed and the aggregate Series A Redemption Price paid in full, (i) all of the unredeemed Shares shall remain outstanding and continue to have the rights, preferences, and privileges expressed herein, including the accrual and</w:t>
      </w:r>
    </w:p>
    <w:p>
      <w:pPr>
        <w:spacing w:after="0" w:line="165" w:lineRule="exact"/>
        <w:rPr>
          <w:sz w:val="20"/>
          <w:szCs w:val="20"/>
          <w:color w:val="auto"/>
        </w:rPr>
      </w:pPr>
    </w:p>
    <w:p>
      <w:pPr>
        <w:ind w:left="1720"/>
        <w:spacing w:after="0"/>
        <w:rPr>
          <w:sz w:val="20"/>
          <w:szCs w:val="20"/>
          <w:color w:val="auto"/>
        </w:rPr>
      </w:pPr>
      <w:r>
        <w:rPr>
          <w:rFonts w:ascii="Calibri" w:cs="Calibri" w:eastAsia="Calibri" w:hAnsi="Calibri"/>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158750</wp:posOffset>
            </wp:positionV>
            <wp:extent cx="552894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jc w:val="both"/>
        <w:ind w:left="1080" w:right="199"/>
        <w:spacing w:after="0" w:line="244" w:lineRule="auto"/>
        <w:rPr>
          <w:sz w:val="20"/>
          <w:szCs w:val="20"/>
          <w:color w:val="auto"/>
        </w:rPr>
      </w:pPr>
      <w:r>
        <w:rPr>
          <w:rFonts w:ascii="Times New Roman" w:cs="Times New Roman" w:eastAsia="Times New Roman" w:hAnsi="Times New Roman"/>
          <w:sz w:val="22"/>
          <w:szCs w:val="22"/>
          <w:u w:val="single" w:color="auto"/>
          <w:color w:val="0000EE"/>
        </w:rPr>
        <w:t>accumulation of dividends thereon as provided in Section 4, (b) interest on the portion of the aggregate Series A Redemption Price applicable to the unredeemed Shares shall accrue daily in arrears at a rate equal to 18.0% per annum and, for the avoidance of doubt, there shall be no additional dividend accrual during such period, and (c) the holders of the unredeemed Shares shall have the remedies set forth in Section 9.2.</w:t>
      </w:r>
    </w:p>
    <w:p>
      <w:pPr>
        <w:spacing w:after="0" w:line="173" w:lineRule="exact"/>
        <w:rPr>
          <w:sz w:val="20"/>
          <w:szCs w:val="20"/>
          <w:color w:val="auto"/>
        </w:rPr>
      </w:pPr>
    </w:p>
    <w:p>
      <w:pPr>
        <w:jc w:val="both"/>
        <w:ind w:left="560" w:right="199" w:firstLine="504"/>
        <w:spacing w:after="0" w:line="250"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0000EE"/>
        </w:rPr>
        <w:t>Surrender of Certificates. On or before the Series A Redemption Date, each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 xml:space="preserve">holder of Shares of Series A Preferred Stock not otherwise electing prior to the Series A Conversion Election Date to convert its Shares pursuant to Section 8 shall surrender the certificate or certificates representing such Shares to the Corporation, in the manner and place designated in the Series A Redemption Notice, duly assigned or endorsed for transfer to the Corporation (or accompanied by duly executed stock powers relating thereto), or, in the event the certificate or certificates are lost, stolen or missing, shall deliver an affidavit of loss, in the manner and place designated in the Series A Redemption Notice. Each surrendered certificate shall be canceled and retired and the Corporation shall thereafter make payment of the applicable Series A Redemption Price by certified check or wire transfer to the holder of record of such certificate; </w:t>
      </w:r>
      <w:r>
        <w:rPr>
          <w:rFonts w:ascii="Times New Roman" w:cs="Times New Roman" w:eastAsia="Times New Roman" w:hAnsi="Times New Roman"/>
          <w:sz w:val="21"/>
          <w:szCs w:val="21"/>
          <w:i w:val="1"/>
          <w:iCs w:val="1"/>
          <w:u w:val="single" w:color="auto"/>
          <w:color w:val="0000EE"/>
        </w:rPr>
        <w:t>provided</w:t>
      </w:r>
      <w:r>
        <w:rPr>
          <w:rFonts w:ascii="Times New Roman" w:cs="Times New Roman" w:eastAsia="Times New Roman" w:hAnsi="Times New Roman"/>
          <w:sz w:val="21"/>
          <w:szCs w:val="21"/>
          <w:u w:val="single" w:color="auto"/>
          <w:color w:val="0000EE"/>
        </w:rPr>
        <w:t>, that if less than all the Shares represented by a surrendered certificate are redeemed, then a new stock certificate representing the unredeemed Shares shall be issued in the name of the applicable holder of record of canceled stock certificate.</w:t>
      </w:r>
    </w:p>
    <w:p>
      <w:pPr>
        <w:spacing w:after="0" w:line="172" w:lineRule="exact"/>
        <w:rPr>
          <w:sz w:val="20"/>
          <w:szCs w:val="20"/>
          <w:color w:val="auto"/>
        </w:rPr>
      </w:pPr>
    </w:p>
    <w:p>
      <w:pPr>
        <w:jc w:val="both"/>
        <w:ind w:left="560" w:right="199" w:firstLine="504"/>
        <w:spacing w:after="0" w:line="243"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Rights Subsequent to Redemption</w:t>
      </w:r>
      <w:r>
        <w:rPr>
          <w:rFonts w:ascii="Times New Roman" w:cs="Times New Roman" w:eastAsia="Times New Roman" w:hAnsi="Times New Roman"/>
          <w:sz w:val="22"/>
          <w:szCs w:val="22"/>
          <w:color w:val="auto"/>
        </w:rPr>
        <w:t>. If on the applicable Series A Redemption Date, the Series A Redemption Price is paid (or tendered for payment) for any of the Shares to be redeemed on such Series A Redemption Date, then on such date all rights of the holder in the Shares so redeemed and paid or tendered, including any rights to dividends on such Shares, shall cease, and such Shares shall no longer be deemed issued and outstanding.</w:t>
      </w:r>
    </w:p>
    <w:p>
      <w:pPr>
        <w:spacing w:after="0" w:line="393" w:lineRule="exact"/>
        <w:rPr>
          <w:sz w:val="20"/>
          <w:szCs w:val="20"/>
          <w:color w:val="auto"/>
        </w:rPr>
      </w:pPr>
    </w:p>
    <w:p>
      <w:pPr>
        <w:ind w:left="1120" w:hanging="558"/>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Right to Convert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080" w:right="199" w:firstLine="643"/>
        <w:spacing w:after="0" w:line="249" w:lineRule="auto"/>
        <w:tabs>
          <w:tab w:leader="none" w:pos="248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Right to Convert. Subject to the provisions of this Section 8 and the authority of the Board to determine pay accrued dividends in cash as set forth in Section 4.1, at any time and from time to time on or after the Date of Issuance, any holder of Series A Preferred Stock shall have the right by written election to the Corporation to convert all or any portion of the outstanding Shares of Series A Preferred Stock (including any fraction of a Share) held by such holder along with the aggregate accrued or accumulated and unpaid dividends thereon into an aggregate number of shares of Common Stock (including any fraction of a share) as is determined by (i) multiplying the number of Shares (including any fraction of a Share) to be converted by the Liquidation Value thereof, (ii) adding to the result all accrued and accumulated and unpaid dividends on such Shares to be converted, and then (iii) dividing the result by the Conversion Price in effect immediately prior to such conversion. The initial conversion price per Share (the “</w:t>
      </w:r>
      <w:r>
        <w:rPr>
          <w:rFonts w:ascii="Times New Roman" w:cs="Times New Roman" w:eastAsia="Times New Roman" w:hAnsi="Times New Roman"/>
          <w:sz w:val="21"/>
          <w:szCs w:val="21"/>
          <w:b w:val="1"/>
          <w:bCs w:val="1"/>
          <w:u w:val="single" w:color="auto"/>
          <w:color w:val="0000EE"/>
        </w:rPr>
        <w:t>Conversion Price</w:t>
      </w:r>
      <w:r>
        <w:rPr>
          <w:rFonts w:ascii="Times New Roman" w:cs="Times New Roman" w:eastAsia="Times New Roman" w:hAnsi="Times New Roman"/>
          <w:sz w:val="21"/>
          <w:szCs w:val="21"/>
          <w:u w:val="single" w:color="auto"/>
          <w:color w:val="0000EE"/>
        </w:rPr>
        <w:t>”) shall be the Liquidation Value of such Share, subject to adjustment as applicable in accordance with Section 8.6 below.</w:t>
      </w:r>
    </w:p>
    <w:p>
      <w:pPr>
        <w:spacing w:after="0" w:line="178"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Procedures for Conversion; Effect of Conversion; Primary Market Limitation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Calibri" w:cs="Calibri" w:eastAsia="Calibri" w:hAnsi="Calibri"/>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91440</wp:posOffset>
            </wp:positionV>
            <wp:extent cx="552894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jc w:val="both"/>
        <w:ind w:left="1080" w:right="199" w:firstLine="643"/>
        <w:spacing w:after="0" w:line="248" w:lineRule="auto"/>
        <w:tabs>
          <w:tab w:leader="none" w:pos="24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Procedures for Holder Conversion. In order to effectuate a conversion of Shares of Series A Preferred Stock pursuant to Section 8.1(a), a holder shall (a) submit a written election to the Corporation that such holder elects to convert Shares and identifies the number of Shares elected to be converted (the “</w:t>
      </w:r>
      <w:r>
        <w:rPr>
          <w:rFonts w:ascii="Times New Roman" w:cs="Times New Roman" w:eastAsia="Times New Roman" w:hAnsi="Times New Roman"/>
          <w:sz w:val="21"/>
          <w:szCs w:val="21"/>
          <w:b w:val="1"/>
          <w:bCs w:val="1"/>
          <w:u w:val="single" w:color="auto"/>
          <w:color w:val="0000EE"/>
        </w:rPr>
        <w:t>Notice of Conversion</w:t>
      </w:r>
      <w:r>
        <w:rPr>
          <w:rFonts w:ascii="Times New Roman" w:cs="Times New Roman" w:eastAsia="Times New Roman" w:hAnsi="Times New Roman"/>
          <w:sz w:val="21"/>
          <w:szCs w:val="21"/>
          <w:u w:val="single" w:color="auto"/>
          <w:color w:val="0000EE"/>
        </w:rPr>
        <w:t>”) and (b) surrender, along with such written election, to the Corporation the certificate or certificates representing the Shares being converted, duly assigned or endorsed for transfer to the Corporation (or accompanied by duly executed stock powers relating thereto) or, in the event the certificate or certificates are lost, stolen, or missing, accompanied by an affidavit of loss executed by the holder. The conversion of such Shares hereunder shall be deemed effective as of the date of surrender of such Series A Preferred Stock certificate or certificates or delivery of such affidavit of loss. Upon the receipt by the Corporation of a Notice of Conversion and the surrender of such certificate(s) and accompanying materials, the Corporation shall as promptly as practicable (but in any event within fifteen (15) days thereafter) deliver to the relevant holder (a) a certificate in such holder’s name (or the name of such holder’s designee as stated in the written election) for the number of shares of Common Stock (including any fractional share) to which such holder shall be entitled upon conversion of the applicable Shares as calculated pursuant to Section 8.1(a) and, if applicable (b) a certificate in such holder’s (or the name of such holder’s designee as stated in the written election) for the number of Shares of Series A Preferred Stock (including any fractional share) represented by the certificate or certificates delivered to the Corporation for conversion but otherwise not elected to be converted pursuant to the written election. All shares of capital stock issued hereunder by the Corporation shall be duly and validly issued, fully paid, and nonassessable, free and clear of all taxes, liens, charges, and encumbrances with respect to the issuance thereof other than restrictions set forth in applicable law.</w:t>
      </w:r>
    </w:p>
    <w:p>
      <w:pPr>
        <w:spacing w:after="0" w:line="188" w:lineRule="exact"/>
        <w:rPr>
          <w:rFonts w:ascii="Times New Roman" w:cs="Times New Roman" w:eastAsia="Times New Roman" w:hAnsi="Times New Roman"/>
          <w:sz w:val="21"/>
          <w:szCs w:val="21"/>
          <w:color w:val="auto"/>
        </w:rPr>
      </w:pPr>
    </w:p>
    <w:p>
      <w:pPr>
        <w:jc w:val="both"/>
        <w:ind w:left="1080" w:right="199" w:firstLine="643"/>
        <w:spacing w:after="0" w:line="241" w:lineRule="auto"/>
        <w:tabs>
          <w:tab w:leader="none" w:pos="246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Effect of Conversion. All Shares of Series A Preferred Stock converted as provided in this Section 8.2 shall no longer be deemed outstanding as of the effective time of the applicable conversion and all rights with respect to such Shares shall immediately cease and terminate as of such time (including, without limitation, any right of redemption pursuant to Section 7), other than the right of the holder to receive shares of Common Stock in exchange therefor.</w:t>
      </w:r>
    </w:p>
    <w:p>
      <w:pPr>
        <w:spacing w:after="0" w:line="176" w:lineRule="exact"/>
        <w:rPr>
          <w:rFonts w:ascii="Times New Roman" w:cs="Times New Roman" w:eastAsia="Times New Roman" w:hAnsi="Times New Roman"/>
          <w:sz w:val="22"/>
          <w:szCs w:val="22"/>
          <w:color w:val="auto"/>
        </w:rPr>
      </w:pPr>
    </w:p>
    <w:p>
      <w:pPr>
        <w:jc w:val="both"/>
        <w:ind w:left="1080" w:right="199" w:firstLine="643"/>
        <w:spacing w:after="0" w:line="237" w:lineRule="auto"/>
        <w:tabs>
          <w:tab w:leader="none" w:pos="245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Primary Market Limitation</w:t>
      </w:r>
      <w:r>
        <w:rPr>
          <w:rFonts w:ascii="Times New Roman" w:cs="Times New Roman" w:eastAsia="Times New Roman" w:hAnsi="Times New Roman"/>
          <w:sz w:val="22"/>
          <w:szCs w:val="22"/>
          <w:color w:val="auto"/>
        </w:rPr>
        <w:t>. Unless stockholder approval is not required by the applicable rules of the applicable securities exchange for issuances of Common Stock upon conversion of the Series A Preferred Stock in excess of the Primary Market Limitation (as defined below), or the Corporation has obtained such approval, the Corporation shall not effect any conversion of the Series A Preferred Stock, and a holder of the Series A Preferred Stock shall not have the right to receive dividends hereunder or convert any portion of the Series A Preferred Stock, to the extent that, after giving effect to the receipt of dividends hereunder or conversion set forth on the applicable Notice of Conversion, such holder would have received in respect of its shares of Series A Preferred Stock in excess of its pro rata share of the Primary Market Limitation (as defined below). For purposes of the foregoing sentence, such holder’s pro rata share of the Primary Market Limitation shall be equal to (i) the original purchase price paid to the Corporation for all the shares of Series A Preferred Stock acquired by such holder (and not subsequently disposed of, other than pursuant to a conversion hereunder),</w:t>
      </w:r>
    </w:p>
    <w:p>
      <w:pPr>
        <w:spacing w:after="0" w:line="181" w:lineRule="exact"/>
        <w:rPr>
          <w:sz w:val="20"/>
          <w:szCs w:val="20"/>
          <w:color w:val="auto"/>
        </w:rPr>
      </w:pPr>
    </w:p>
    <w:p>
      <w:pPr>
        <w:ind w:left="1720"/>
        <w:spacing w:after="0"/>
        <w:rPr>
          <w:sz w:val="20"/>
          <w:szCs w:val="20"/>
          <w:color w:val="auto"/>
        </w:rPr>
      </w:pPr>
      <w:r>
        <w:rPr>
          <w:rFonts w:ascii="Calibri" w:cs="Calibri" w:eastAsia="Calibri" w:hAnsi="Calibri"/>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jc w:val="both"/>
        <w:ind w:left="1080" w:right="199"/>
        <w:spacing w:after="0" w:line="239" w:lineRule="auto"/>
        <w:rPr>
          <w:sz w:val="20"/>
          <w:szCs w:val="20"/>
          <w:color w:val="auto"/>
        </w:rPr>
      </w:pPr>
      <w:r>
        <w:rPr>
          <w:rFonts w:ascii="Times New Roman" w:cs="Times New Roman" w:eastAsia="Times New Roman" w:hAnsi="Times New Roman"/>
          <w:sz w:val="22"/>
          <w:szCs w:val="22"/>
          <w:color w:val="auto"/>
        </w:rPr>
        <w:t>divided by (ii) the aggregate original purchase price paid to the Corporation for all the outstanding shares of Series A Preferred Stock and all other securities aggregated with the Series A Preferred Stock for the purposes of the applicable rules of the applicable securities exchange. The “Primary Market Limitation” shall be 19.99% of the number of shares of the Common Stock outstanding immediately before the first sale of Series A Preferred Stock (or the first sale of any other securities aggregated with the Series A Preferred Stock for the purposes of the applicable rules of the applicable securities exchange, if earlier). The limitations contained in this paragraph shall apply to a successor holder of the Series A Preferred Stock.</w:t>
      </w:r>
    </w:p>
    <w:p>
      <w:pPr>
        <w:spacing w:after="0" w:line="190" w:lineRule="exact"/>
        <w:rPr>
          <w:sz w:val="20"/>
          <w:szCs w:val="20"/>
          <w:color w:val="auto"/>
        </w:rPr>
      </w:pPr>
    </w:p>
    <w:p>
      <w:pPr>
        <w:jc w:val="both"/>
        <w:ind w:left="560" w:right="199" w:firstLine="504"/>
        <w:spacing w:after="0"/>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0000EE"/>
        </w:rPr>
        <w:t>Reservation of Stock. The Corporation shall at all times when any Shares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Series A Preferred Stock is outstanding reserve and keep available out of its authorized but unissued shares of capital stock, solely for the purpose of issuance upon the conversion of the Series A Preferred Stock, such number of shares of Common Stock issuable upon the conversion of all outstanding Series A Preferred Stock pursuant to this Section 8, taking into account any adjustment to such number of shares so issuable in accordance with Section 8.6 hereof.</w:t>
      </w:r>
    </w:p>
    <w:p>
      <w:pPr>
        <w:spacing w:after="0" w:line="200" w:lineRule="exact"/>
        <w:rPr>
          <w:sz w:val="20"/>
          <w:szCs w:val="20"/>
          <w:color w:val="auto"/>
        </w:rPr>
      </w:pPr>
    </w:p>
    <w:p>
      <w:pPr>
        <w:spacing w:after="0" w:line="240" w:lineRule="exact"/>
        <w:rPr>
          <w:sz w:val="20"/>
          <w:szCs w:val="20"/>
          <w:color w:val="auto"/>
        </w:rPr>
      </w:pPr>
    </w:p>
    <w:p>
      <w:pPr>
        <w:jc w:val="both"/>
        <w:ind w:left="560" w:right="199" w:firstLine="504"/>
        <w:spacing w:after="0" w:line="24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0000EE"/>
        </w:rPr>
        <w:t>No Charge or Payment. The issuance of certificates for shares of 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upon conversion of Shares of Series A Preferred Stock pursuant to Section 8.1 shall be made without payment of additional consideration by, or other charge, cost, or tax to, the holder in respect thereof.</w:t>
      </w:r>
    </w:p>
    <w:p>
      <w:pPr>
        <w:spacing w:after="0" w:line="186" w:lineRule="exact"/>
        <w:rPr>
          <w:sz w:val="20"/>
          <w:szCs w:val="20"/>
          <w:color w:val="auto"/>
        </w:rPr>
      </w:pPr>
    </w:p>
    <w:p>
      <w:pPr>
        <w:jc w:val="both"/>
        <w:ind w:left="560" w:right="199" w:firstLine="504"/>
        <w:spacing w:after="0" w:line="23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0000EE"/>
        </w:rPr>
        <w:t>Termination of Conversion Rights. In the event of a Series A Election Notice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a Series A Redemption Notice relating to a redemption of any Shares of Series A Preferred Stock pursuant to Section 7, the conversion rights described herein of the Shares designated for redemption shall terminate at the close of business on the applicable Series A Conversion Election Date, unless the Series A Redemption Price is not fully paid on such redemption date, in which case the conversion rights for such Shares shall continue until such price is paid in full.</w:t>
      </w:r>
    </w:p>
    <w:p>
      <w:pPr>
        <w:spacing w:after="0" w:line="194" w:lineRule="exact"/>
        <w:rPr>
          <w:sz w:val="20"/>
          <w:szCs w:val="20"/>
          <w:color w:val="auto"/>
        </w:rPr>
      </w:pPr>
    </w:p>
    <w:p>
      <w:pPr>
        <w:jc w:val="both"/>
        <w:ind w:left="560" w:right="199" w:firstLine="504"/>
        <w:spacing w:after="0" w:line="259"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0000EE"/>
        </w:rPr>
        <w:t>Adjustment to Conversion Price and Number of Conversion Shares. In order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prevent dilution of the conversion rights granted under this Section 8, the Conversion Price and the number of Conversion Shares issuable on conversion of the Shares of Series A Preferred Stock shall be subject to adjustment from time to time as provided in this Section 8.6.</w:t>
      </w:r>
    </w:p>
    <w:p>
      <w:pPr>
        <w:spacing w:after="0" w:line="173" w:lineRule="exact"/>
        <w:rPr>
          <w:sz w:val="20"/>
          <w:szCs w:val="20"/>
          <w:color w:val="auto"/>
        </w:rPr>
      </w:pPr>
    </w:p>
    <w:p>
      <w:pPr>
        <w:jc w:val="both"/>
        <w:ind w:left="1080" w:right="199" w:firstLine="643"/>
        <w:spacing w:after="0" w:line="251" w:lineRule="auto"/>
        <w:tabs>
          <w:tab w:leader="none" w:pos="245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Adjustment to Conversion Price and Conversion Shares upon Dividend, Subdivision, or Combination of Common Stock. If the Corporation shall, at any time or from time to time after the Date of Issuance, (i) pay a dividend or make any other distribution upon the Common Stock or any other capital stock of the Corporation payable in shares of Common Stock or in Options or Convertible Securities, or (ii) subdivide (by any stock split, recapitalization, or otherwise) its outstanding shares of Common Stock into a greater number of shares, the Conversion Price in effect immediately prior to any such dividend, distribution, or subdivision shall be proportionately reduced and the number of Conversion Shares issuable upon conversion of the Series A Preferred Stock shall be proportionately increased. If the Corporation at</w:t>
      </w:r>
    </w:p>
    <w:p>
      <w:pPr>
        <w:spacing w:after="0" w:line="161" w:lineRule="exact"/>
        <w:rPr>
          <w:sz w:val="20"/>
          <w:szCs w:val="20"/>
          <w:color w:val="auto"/>
        </w:rPr>
      </w:pPr>
    </w:p>
    <w:p>
      <w:pPr>
        <w:ind w:left="1720"/>
        <w:spacing w:after="0"/>
        <w:rPr>
          <w:sz w:val="20"/>
          <w:szCs w:val="20"/>
          <w:color w:val="auto"/>
        </w:rPr>
      </w:pPr>
      <w:r>
        <w:rPr>
          <w:rFonts w:ascii="Calibri" w:cs="Calibri" w:eastAsia="Calibri" w:hAnsi="Calibri"/>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jc w:val="both"/>
        <w:ind w:left="1080" w:right="199"/>
        <w:spacing w:after="0" w:line="239" w:lineRule="auto"/>
        <w:rPr>
          <w:sz w:val="20"/>
          <w:szCs w:val="20"/>
          <w:color w:val="auto"/>
        </w:rPr>
      </w:pPr>
      <w:r>
        <w:rPr>
          <w:rFonts w:ascii="Times New Roman" w:cs="Times New Roman" w:eastAsia="Times New Roman" w:hAnsi="Times New Roman"/>
          <w:sz w:val="22"/>
          <w:szCs w:val="22"/>
          <w:u w:val="single" w:color="auto"/>
          <w:color w:val="0000EE"/>
        </w:rPr>
        <w:t>any time combines (by combination, reverse stock split, or otherwise) its outstanding shares of Common Stock into a smaller number of shares, the Conversion Price in effect immediately prior to such combination shall be proportionately increased and the number of Conversion Shares issuable upon conversion of the Series A Preferred Stock shall be proportionately decreased. Any adjustment under this Section 8.6(a) shall become effective at the close of business on the date the dividend, subdivision, or combination becomes effective.</w:t>
      </w:r>
    </w:p>
    <w:p>
      <w:pPr>
        <w:spacing w:after="0" w:line="195" w:lineRule="exact"/>
        <w:rPr>
          <w:sz w:val="20"/>
          <w:szCs w:val="20"/>
          <w:color w:val="auto"/>
        </w:rPr>
      </w:pPr>
    </w:p>
    <w:p>
      <w:pPr>
        <w:ind w:left="2440" w:hanging="717"/>
        <w:spacing w:after="0"/>
        <w:tabs>
          <w:tab w:leader="none" w:pos="24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as to Adjustment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720" w:right="199" w:firstLine="651"/>
        <w:spacing w:after="0"/>
        <w:tabs>
          <w:tab w:leader="none" w:pos="311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any adjustment of the Conversion Price, but in any event not later than fifteen (15) days thereafter, the Corporation shall furnish to each holder of record of Series A Preferred Stock at the address specified for such holder in the books and records of the Corporation (or at such other address as may be provided to the Corporation in writing by such holder) a certificate of an executive officer setting forth in reasonable detail such adjustment and the facts upon which it is based and certifying the calculation thereof.</w:t>
      </w:r>
    </w:p>
    <w:p>
      <w:pPr>
        <w:spacing w:after="0" w:line="176" w:lineRule="exact"/>
        <w:rPr>
          <w:rFonts w:ascii="Times New Roman" w:cs="Times New Roman" w:eastAsia="Times New Roman" w:hAnsi="Times New Roman"/>
          <w:sz w:val="22"/>
          <w:szCs w:val="22"/>
          <w:color w:val="auto"/>
        </w:rPr>
      </w:pPr>
    </w:p>
    <w:p>
      <w:pPr>
        <w:jc w:val="both"/>
        <w:ind w:left="1720" w:right="199" w:firstLine="651"/>
        <w:spacing w:after="0"/>
        <w:tabs>
          <w:tab w:leader="none" w:pos="314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the receipt by the Corporation of a written request by any holder of Series A Preferred Stock, but in any event not later than fifteen (15) days thereafter, the Corporation shall furnish to such holder a certificate of an executive officer certifying the Conversion Price then in effect and the number of Conversion Shares or the amount, if any, of other shares of stock, securities, or assets then issuable to such holder upon conversion of the Shares of Series A Preferred Stock held by such holder.</w:t>
      </w:r>
    </w:p>
    <w:p>
      <w:pPr>
        <w:spacing w:after="0" w:line="176" w:lineRule="exact"/>
        <w:rPr>
          <w:rFonts w:ascii="Times New Roman" w:cs="Times New Roman" w:eastAsia="Times New Roman" w:hAnsi="Times New Roman"/>
          <w:sz w:val="22"/>
          <w:szCs w:val="22"/>
          <w:color w:val="auto"/>
        </w:rPr>
      </w:pPr>
    </w:p>
    <w:p>
      <w:pPr>
        <w:ind w:left="2440" w:hanging="717"/>
        <w:spacing w:after="0"/>
        <w:tabs>
          <w:tab w:leader="none" w:pos="24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the event:</w:t>
      </w:r>
    </w:p>
    <w:p>
      <w:pPr>
        <w:spacing w:after="0" w:line="206" w:lineRule="exact"/>
        <w:rPr>
          <w:rFonts w:ascii="Times New Roman" w:cs="Times New Roman" w:eastAsia="Times New Roman" w:hAnsi="Times New Roman"/>
          <w:sz w:val="22"/>
          <w:szCs w:val="22"/>
          <w:color w:val="auto"/>
        </w:rPr>
      </w:pPr>
    </w:p>
    <w:p>
      <w:pPr>
        <w:jc w:val="both"/>
        <w:ind w:left="1720" w:right="199" w:firstLine="651"/>
        <w:spacing w:after="0" w:line="239" w:lineRule="auto"/>
        <w:tabs>
          <w:tab w:leader="none" w:pos="313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Corporation shall take a record of the holders of its Common Stock (or other capital stock or securities at the time issuable upon conversion of the Series A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spacing w:after="0" w:line="194" w:lineRule="exact"/>
        <w:rPr>
          <w:rFonts w:ascii="Times New Roman" w:cs="Times New Roman" w:eastAsia="Times New Roman" w:hAnsi="Times New Roman"/>
          <w:sz w:val="22"/>
          <w:szCs w:val="22"/>
          <w:color w:val="auto"/>
        </w:rPr>
      </w:pPr>
    </w:p>
    <w:p>
      <w:pPr>
        <w:jc w:val="both"/>
        <w:ind w:left="1720" w:right="199" w:firstLine="651"/>
        <w:spacing w:after="0" w:line="250" w:lineRule="auto"/>
        <w:tabs>
          <w:tab w:leader="none" w:pos="3253"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capital reorganization of the Corporation, any reclassification of the Common Stock of the Corporation or any consolidation or merger of the Corporation with or into another Person; or</w:t>
      </w:r>
    </w:p>
    <w:p>
      <w:pPr>
        <w:spacing w:after="0" w:line="167" w:lineRule="exact"/>
        <w:rPr>
          <w:rFonts w:ascii="Times New Roman" w:cs="Times New Roman" w:eastAsia="Times New Roman" w:hAnsi="Times New Roman"/>
          <w:sz w:val="22"/>
          <w:szCs w:val="22"/>
          <w:color w:val="auto"/>
        </w:rPr>
      </w:pPr>
    </w:p>
    <w:p>
      <w:pPr>
        <w:ind w:left="1720" w:right="199" w:firstLine="651"/>
        <w:spacing w:after="0" w:line="258" w:lineRule="auto"/>
        <w:tabs>
          <w:tab w:leader="none" w:pos="321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voluntary or involuntary dissolution, liquidation, or winding-up of the Corporation;</w:t>
      </w:r>
    </w:p>
    <w:p>
      <w:pPr>
        <w:spacing w:after="0" w:line="172" w:lineRule="exact"/>
        <w:rPr>
          <w:sz w:val="20"/>
          <w:szCs w:val="20"/>
          <w:color w:val="auto"/>
        </w:rPr>
      </w:pPr>
    </w:p>
    <w:p>
      <w:pPr>
        <w:jc w:val="both"/>
        <w:ind w:left="1100" w:right="199" w:firstLine="1296"/>
        <w:spacing w:after="0" w:line="268" w:lineRule="auto"/>
        <w:rPr>
          <w:sz w:val="20"/>
          <w:szCs w:val="20"/>
          <w:color w:val="auto"/>
        </w:rPr>
      </w:pPr>
      <w:r>
        <w:rPr>
          <w:rFonts w:ascii="Times New Roman" w:cs="Times New Roman" w:eastAsia="Times New Roman" w:hAnsi="Times New Roman"/>
          <w:sz w:val="21"/>
          <w:szCs w:val="21"/>
          <w:color w:val="auto"/>
        </w:rPr>
        <w:t>then, and in each such case, the Corporation shall send or cause to be sent to each holder of record of Series A Preferred Stock at the address specified for such holder in the books and records of the Corporation (or at such other address as may</w:t>
      </w:r>
    </w:p>
    <w:p>
      <w:pPr>
        <w:spacing w:after="0" w:line="136" w:lineRule="exact"/>
        <w:rPr>
          <w:sz w:val="20"/>
          <w:szCs w:val="20"/>
          <w:color w:val="auto"/>
        </w:rPr>
      </w:pPr>
    </w:p>
    <w:p>
      <w:pPr>
        <w:ind w:left="180"/>
        <w:spacing w:after="0"/>
        <w:rPr>
          <w:sz w:val="20"/>
          <w:szCs w:val="20"/>
          <w:color w:val="auto"/>
        </w:rPr>
      </w:pPr>
      <w:r>
        <w:rPr>
          <w:rFonts w:ascii="Calibri" w:cs="Calibri" w:eastAsia="Calibri" w:hAnsi="Calibri"/>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91440</wp:posOffset>
            </wp:positionV>
            <wp:extent cx="552894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jc w:val="both"/>
        <w:ind w:left="1100" w:right="199"/>
        <w:spacing w:after="0" w:line="249" w:lineRule="auto"/>
        <w:rPr>
          <w:sz w:val="20"/>
          <w:szCs w:val="20"/>
          <w:color w:val="auto"/>
        </w:rPr>
      </w:pPr>
      <w:r>
        <w:rPr>
          <w:rFonts w:ascii="Times New Roman" w:cs="Times New Roman" w:eastAsia="Times New Roman" w:hAnsi="Times New Roman"/>
          <w:sz w:val="21"/>
          <w:szCs w:val="21"/>
          <w:color w:val="auto"/>
        </w:rPr>
        <w:t>be provided to the Corporation in writing by such holder) at least ten (10)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reorganization, reclassification, consolidation, merger, dissolution, liquidation, or winding-up is proposed to take place, and the date, if any is to be fixed, as of which the books of the Corporation shall close or a record shall be taken with respect to which the holders of record of Common Stock (or such other capital stock or securities at the time issuable upon conversion of the Series A Preferred Stock) shall be entitled to exchange their shares of Common Stock (or such other capital stock or securities) for securities or other property deliverable upon such reorganization, reclassification, consolidation, merger, dissolution, liquidation, or winding-up, and the amount per share and character of such exchange applicable to the Series A Preferred Stock and the Conversion Shares.</w:t>
      </w:r>
    </w:p>
    <w:p>
      <w:pPr>
        <w:spacing w:after="0" w:line="400" w:lineRule="exact"/>
        <w:rPr>
          <w:sz w:val="20"/>
          <w:szCs w:val="20"/>
          <w:color w:val="auto"/>
        </w:rPr>
      </w:pPr>
    </w:p>
    <w:p>
      <w:pPr>
        <w:ind w:left="1120" w:hanging="558"/>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60" w:right="199" w:firstLine="504"/>
        <w:spacing w:after="0" w:line="239"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0000EE"/>
        </w:rPr>
        <w:t>Series A Preferred Stock Breach. A breach by the Corporation of the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preferences, powers, restrictions, and limitations of the Series A Preferred Stock set forth herein shall mean the occurrence of one or more of any of the events and conditions set forth in this Section 9.1 (each such event or condition, a “</w:t>
      </w:r>
      <w:r>
        <w:rPr>
          <w:rFonts w:ascii="Times New Roman" w:cs="Times New Roman" w:eastAsia="Times New Roman" w:hAnsi="Times New Roman"/>
          <w:sz w:val="22"/>
          <w:szCs w:val="22"/>
          <w:b w:val="1"/>
          <w:bCs w:val="1"/>
          <w:u w:val="single" w:color="auto"/>
          <w:color w:val="0000EE"/>
        </w:rPr>
        <w:t>Series A Preferred Stock Breach</w:t>
      </w:r>
      <w:r>
        <w:rPr>
          <w:rFonts w:ascii="Times New Roman" w:cs="Times New Roman" w:eastAsia="Times New Roman" w:hAnsi="Times New Roman"/>
          <w:sz w:val="22"/>
          <w:szCs w:val="22"/>
          <w:u w:val="single" w:color="auto"/>
          <w:color w:val="0000EE"/>
        </w:rPr>
        <w:t>”), whether such event or condition occurs voluntarily or involuntarily, by operation of law or pursuant to any judgment, order, decree, rule, or regulation and regardless of the reason or cause of such event or condition.</w:t>
      </w:r>
    </w:p>
    <w:p>
      <w:pPr>
        <w:spacing w:after="0" w:line="194" w:lineRule="exact"/>
        <w:rPr>
          <w:sz w:val="20"/>
          <w:szCs w:val="20"/>
          <w:color w:val="auto"/>
        </w:rPr>
      </w:pPr>
    </w:p>
    <w:p>
      <w:pPr>
        <w:jc w:val="both"/>
        <w:ind w:left="1080" w:right="199" w:firstLine="643"/>
        <w:spacing w:after="0" w:line="250" w:lineRule="auto"/>
        <w:tabs>
          <w:tab w:leader="none" w:pos="246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Nonpayment of Dividends. The failure of the Corporation to pay any dividend when due pursuant to Section 4.1, whether or not such payment is legally permissible or is otherwise prohibited.</w:t>
      </w:r>
    </w:p>
    <w:p>
      <w:pPr>
        <w:spacing w:after="0" w:line="167" w:lineRule="exact"/>
        <w:rPr>
          <w:rFonts w:ascii="Times New Roman" w:cs="Times New Roman" w:eastAsia="Times New Roman" w:hAnsi="Times New Roman"/>
          <w:sz w:val="22"/>
          <w:szCs w:val="22"/>
          <w:color w:val="auto"/>
        </w:rPr>
      </w:pPr>
    </w:p>
    <w:p>
      <w:pPr>
        <w:jc w:val="both"/>
        <w:ind w:left="1080" w:right="199" w:firstLine="643"/>
        <w:spacing w:after="0" w:line="244" w:lineRule="auto"/>
        <w:tabs>
          <w:tab w:leader="none" w:pos="245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Nonpayment of Redemption or Liquidation Payments. The failure of the Corporation to make any (i) redemption payment when due pursuant to Section 7 or (ii) liquidation payment when due pursuant to Section 5, in each case whether or not such payment is legally permissible or is otherwise prohibited.</w:t>
      </w:r>
    </w:p>
    <w:p>
      <w:pPr>
        <w:spacing w:after="0" w:line="186" w:lineRule="exact"/>
        <w:rPr>
          <w:rFonts w:ascii="Times New Roman" w:cs="Times New Roman" w:eastAsia="Times New Roman" w:hAnsi="Times New Roman"/>
          <w:sz w:val="22"/>
          <w:szCs w:val="22"/>
          <w:color w:val="auto"/>
        </w:rPr>
      </w:pPr>
    </w:p>
    <w:p>
      <w:pPr>
        <w:jc w:val="both"/>
        <w:ind w:left="1080" w:right="199" w:firstLine="643"/>
        <w:spacing w:after="0"/>
        <w:tabs>
          <w:tab w:leader="none" w:pos="249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Breach of Veto Rights. The Corporation or any of its Subsidiaries breaches or otherwise fails to perform or observe any of the covenants or agreements contained in Section 6.2, including by attempting to take any action requiring the affirmative consent of a Supermajority Interest of the holders of the Series A Preferred Stock without first obtaining such consent.</w:t>
      </w:r>
    </w:p>
    <w:p>
      <w:pPr>
        <w:spacing w:after="0" w:line="193" w:lineRule="exact"/>
        <w:rPr>
          <w:rFonts w:ascii="Times New Roman" w:cs="Times New Roman" w:eastAsia="Times New Roman" w:hAnsi="Times New Roman"/>
          <w:sz w:val="22"/>
          <w:szCs w:val="22"/>
          <w:color w:val="auto"/>
        </w:rPr>
      </w:pPr>
    </w:p>
    <w:p>
      <w:pPr>
        <w:jc w:val="both"/>
        <w:ind w:left="1080" w:right="199" w:firstLine="643"/>
        <w:spacing w:after="0" w:line="248" w:lineRule="auto"/>
        <w:tabs>
          <w:tab w:leader="none" w:pos="245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or Insolvency</w:t>
      </w:r>
      <w:r>
        <w:rPr>
          <w:rFonts w:ascii="Times New Roman" w:cs="Times New Roman" w:eastAsia="Times New Roman" w:hAnsi="Times New Roman"/>
          <w:sz w:val="22"/>
          <w:szCs w:val="22"/>
          <w:color w:val="auto"/>
        </w:rPr>
        <w:t>. The Corporation or any of its Subsidiaries (i) becomes insolvent or admits its inability to pay its debts generally as they become due;</w:t>
      </w:r>
    </w:p>
    <w:p>
      <w:pPr>
        <w:jc w:val="both"/>
        <w:ind w:left="1080" w:right="199" w:hanging="5"/>
        <w:spacing w:after="0" w:line="251" w:lineRule="auto"/>
        <w:tabs>
          <w:tab w:leader="none" w:pos="141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becomes subject, voluntarily or involuntarily, to any proceeding under any domestic or foreign bankruptcy or insolvency law, which is not fully stayed within fourteen (14) days or is not dismissed or vacated within sixty (60) days after filing; (iii) makes a general assignment for the benefit of creditors; or (iv) has a receiver, trustee, custodian,</w:t>
      </w:r>
    </w:p>
    <w:p>
      <w:pPr>
        <w:spacing w:after="0" w:line="154" w:lineRule="exact"/>
        <w:rPr>
          <w:sz w:val="20"/>
          <w:szCs w:val="20"/>
          <w:color w:val="auto"/>
        </w:rPr>
      </w:pPr>
    </w:p>
    <w:p>
      <w:pPr>
        <w:ind w:left="1720"/>
        <w:spacing w:after="0"/>
        <w:rPr>
          <w:sz w:val="20"/>
          <w:szCs w:val="20"/>
          <w:color w:val="auto"/>
        </w:rPr>
      </w:pPr>
      <w:r>
        <w:rPr>
          <w:rFonts w:ascii="Calibri" w:cs="Calibri" w:eastAsia="Calibri" w:hAnsi="Calibri"/>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ind w:left="1080" w:right="199"/>
        <w:spacing w:after="0" w:line="259" w:lineRule="auto"/>
        <w:rPr>
          <w:sz w:val="20"/>
          <w:szCs w:val="20"/>
          <w:color w:val="auto"/>
        </w:rPr>
      </w:pPr>
      <w:r>
        <w:rPr>
          <w:rFonts w:ascii="Times New Roman" w:cs="Times New Roman" w:eastAsia="Times New Roman" w:hAnsi="Times New Roman"/>
          <w:sz w:val="22"/>
          <w:szCs w:val="22"/>
          <w:color w:val="auto"/>
        </w:rPr>
        <w:t>or similar agent appointed by order of any court of competent jurisdiction to take charge of or sell any material portion of its property or business.</w:t>
      </w:r>
    </w:p>
    <w:p>
      <w:pPr>
        <w:spacing w:after="0" w:line="170" w:lineRule="exact"/>
        <w:rPr>
          <w:sz w:val="20"/>
          <w:szCs w:val="20"/>
          <w:color w:val="auto"/>
        </w:rPr>
      </w:pPr>
    </w:p>
    <w:p>
      <w:pPr>
        <w:jc w:val="both"/>
        <w:ind w:left="560" w:right="199" w:firstLine="504"/>
        <w:spacing w:after="0" w:line="243"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0000EE"/>
        </w:rPr>
        <w:t>Consequences of Breach. In addition to any other rights which a holder of 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EE"/>
        </w:rPr>
        <w:t>of Series A Preferred Stock is entitled under any other contract or agreement and any other rights such holder may have pursuant to applicable law, the holders of Shares of Series A Preferred Stock shall have the rights and remedies set forth in this Section 9.2 on the occurrence of a Series A Preferred Stock Breach.</w:t>
      </w:r>
    </w:p>
    <w:p>
      <w:pPr>
        <w:spacing w:after="0" w:line="177" w:lineRule="exact"/>
        <w:rPr>
          <w:sz w:val="20"/>
          <w:szCs w:val="20"/>
          <w:color w:val="auto"/>
        </w:rPr>
      </w:pPr>
    </w:p>
    <w:p>
      <w:pPr>
        <w:jc w:val="both"/>
        <w:ind w:left="1080" w:right="199" w:firstLine="643"/>
        <w:spacing w:after="0" w:line="244" w:lineRule="auto"/>
        <w:tabs>
          <w:tab w:leader="none" w:pos="2494"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 xml:space="preserve">Increased Dividend Rate. If a Series A Preferred Stock Breach has occurred and is continuing, the dividend rate on the Series A Preferred Stock set forth in Section 4.1 hereof shall increase immediately by an increment of 3.0% </w:t>
      </w:r>
      <w:r>
        <w:rPr>
          <w:rFonts w:ascii="Times New Roman" w:cs="Times New Roman" w:eastAsia="Times New Roman" w:hAnsi="Times New Roman"/>
          <w:sz w:val="22"/>
          <w:szCs w:val="22"/>
          <w:i w:val="1"/>
          <w:iCs w:val="1"/>
          <w:u w:val="single" w:color="auto"/>
          <w:color w:val="0000EE"/>
        </w:rPr>
        <w:t>per annum</w:t>
      </w:r>
      <w:r>
        <w:rPr>
          <w:rFonts w:ascii="Times New Roman" w:cs="Times New Roman" w:eastAsia="Times New Roman" w:hAnsi="Times New Roman"/>
          <w:sz w:val="22"/>
          <w:szCs w:val="22"/>
          <w:u w:val="single" w:color="auto"/>
          <w:color w:val="0000EE"/>
        </w:rPr>
        <w:t xml:space="preserve"> until no Series A Preferred Stock Breach exists.</w:t>
      </w:r>
    </w:p>
    <w:p>
      <w:pPr>
        <w:spacing w:after="0" w:line="186" w:lineRule="exact"/>
        <w:rPr>
          <w:rFonts w:ascii="Times New Roman" w:cs="Times New Roman" w:eastAsia="Times New Roman" w:hAnsi="Times New Roman"/>
          <w:sz w:val="22"/>
          <w:szCs w:val="22"/>
          <w:color w:val="auto"/>
        </w:rPr>
      </w:pPr>
    </w:p>
    <w:p>
      <w:pPr>
        <w:jc w:val="both"/>
        <w:ind w:left="1080" w:right="199" w:firstLine="643"/>
        <w:spacing w:after="0"/>
        <w:tabs>
          <w:tab w:leader="none" w:pos="2452"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 xml:space="preserve">Automatic Redemption on Bankruptcy. Notwithstanding the earliest date for redemption set forth in Section 7.1, if a Series A Preferred Stock Breach described in Section 9.1(d) has occurred, all of the then outstanding Shares of Series A Preferred Stock shall be subject to redemption immediately without any action required by the holders of Shares of Series A Preferred Stock, for a price per Share equal to the Series A Redemption Price, to the extent permitted by applicable law. Any such redemption shall occur immediately and shall otherwise be executed in accordance with the provisions of Section 7, applied </w:t>
      </w:r>
      <w:r>
        <w:rPr>
          <w:rFonts w:ascii="Times New Roman" w:cs="Times New Roman" w:eastAsia="Times New Roman" w:hAnsi="Times New Roman"/>
          <w:sz w:val="22"/>
          <w:szCs w:val="22"/>
          <w:i w:val="1"/>
          <w:iCs w:val="1"/>
          <w:u w:val="single" w:color="auto"/>
          <w:color w:val="0000EE"/>
        </w:rPr>
        <w:t>mutatis mutandis</w:t>
      </w:r>
      <w:r>
        <w:rPr>
          <w:rFonts w:ascii="Times New Roman" w:cs="Times New Roman" w:eastAsia="Times New Roman" w:hAnsi="Times New Roman"/>
          <w:sz w:val="22"/>
          <w:szCs w:val="22"/>
          <w:u w:val="single" w:color="auto"/>
          <w:color w:val="0000EE"/>
        </w:rPr>
        <w:t>.</w:t>
      </w:r>
    </w:p>
    <w:p>
      <w:pPr>
        <w:spacing w:after="0" w:line="392" w:lineRule="exact"/>
        <w:rPr>
          <w:rFonts w:ascii="Times New Roman" w:cs="Times New Roman" w:eastAsia="Times New Roman" w:hAnsi="Times New Roman"/>
          <w:sz w:val="22"/>
          <w:szCs w:val="22"/>
          <w:color w:val="auto"/>
        </w:rPr>
      </w:pPr>
    </w:p>
    <w:p>
      <w:pPr>
        <w:jc w:val="both"/>
        <w:ind w:left="180" w:right="199" w:firstLine="382"/>
        <w:spacing w:after="0" w:line="244" w:lineRule="auto"/>
        <w:tabs>
          <w:tab w:leader="none" w:pos="120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Series A Preferred Stock</w:t>
      </w:r>
      <w:r>
        <w:rPr>
          <w:rFonts w:ascii="Times New Roman" w:cs="Times New Roman" w:eastAsia="Times New Roman" w:hAnsi="Times New Roman"/>
          <w:sz w:val="22"/>
          <w:szCs w:val="22"/>
          <w:color w:val="auto"/>
        </w:rPr>
        <w:t>. Any Shares of Series A Preferred Stock redeemed, converted, or otherwise acquired by the Corporation or any Subsidiary shall be cancelled and retired as authorized and issued shares of capital stock of the Corporation and no such Shares shall thereafter be reissued, sold, or transferred.</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jc w:val="both"/>
        <w:ind w:left="180" w:right="199" w:firstLine="382"/>
        <w:spacing w:after="0" w:line="242" w:lineRule="auto"/>
        <w:tabs>
          <w:tab w:leader="none" w:pos="117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Notices.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w:t>
      </w:r>
    </w:p>
    <w:p>
      <w:pPr>
        <w:spacing w:after="0" w:line="2" w:lineRule="exact"/>
        <w:rPr>
          <w:rFonts w:ascii="Times New Roman" w:cs="Times New Roman" w:eastAsia="Times New Roman" w:hAnsi="Times New Roman"/>
          <w:sz w:val="22"/>
          <w:szCs w:val="22"/>
          <w:color w:val="auto"/>
        </w:rPr>
      </w:pPr>
    </w:p>
    <w:p>
      <w:pPr>
        <w:jc w:val="both"/>
        <w:ind w:left="180" w:right="199" w:firstLine="4"/>
        <w:spacing w:after="0" w:line="236" w:lineRule="auto"/>
        <w:tabs>
          <w:tab w:leader="none" w:pos="484" w:val="left"/>
        </w:tabs>
        <w:numPr>
          <w:ilvl w:val="0"/>
          <w:numId w:val="26"/>
        </w:numPr>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t>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at its principal executive offices and (b) to any stockholder, at such holder’s address at it appears in the stock records of the Corporation (or at such other address for a stockholder as shall be specified in a notice given in accordance with this Section 11).</w:t>
      </w:r>
    </w:p>
    <w:p>
      <w:pPr>
        <w:spacing w:after="0" w:line="394" w:lineRule="exact"/>
        <w:rPr>
          <w:rFonts w:ascii="Times New Roman" w:cs="Times New Roman" w:eastAsia="Times New Roman" w:hAnsi="Times New Roman"/>
          <w:sz w:val="22"/>
          <w:szCs w:val="22"/>
          <w:u w:val="single" w:color="auto"/>
          <w:color w:val="0000EE"/>
        </w:rPr>
      </w:pPr>
    </w:p>
    <w:p>
      <w:pPr>
        <w:jc w:val="both"/>
        <w:ind w:left="180" w:right="199" w:firstLine="382"/>
        <w:spacing w:after="0" w:line="252" w:lineRule="auto"/>
        <w:tabs>
          <w:tab w:leader="none" w:pos="120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EE"/>
        </w:rPr>
        <w:t xml:space="preserve">Amendment and Waiver. No provision of this Certificate of Designation may be amended, modified, or waived except by an instrument in writing executed by the Corporation and a majority of the then total outstanding Shares of Series A Preferred Stock, and any such written amendment, modification, or waiver will be binding upon the Corporation and each holder of Series A Preferred Stock; </w:t>
      </w:r>
      <w:r>
        <w:rPr>
          <w:rFonts w:ascii="Times New Roman" w:cs="Times New Roman" w:eastAsia="Times New Roman" w:hAnsi="Times New Roman"/>
          <w:sz w:val="21"/>
          <w:szCs w:val="21"/>
          <w:i w:val="1"/>
          <w:iCs w:val="1"/>
          <w:u w:val="single" w:color="auto"/>
          <w:color w:val="0000EE"/>
        </w:rPr>
        <w:t>provided</w:t>
      </w:r>
      <w:r>
        <w:rPr>
          <w:rFonts w:ascii="Times New Roman" w:cs="Times New Roman" w:eastAsia="Times New Roman" w:hAnsi="Times New Roman"/>
          <w:sz w:val="21"/>
          <w:szCs w:val="21"/>
          <w:u w:val="single" w:color="auto"/>
          <w:color w:val="0000EE"/>
        </w:rPr>
        <w:t xml:space="preserve">, </w:t>
      </w:r>
      <w:r>
        <w:rPr>
          <w:rFonts w:ascii="Times New Roman" w:cs="Times New Roman" w:eastAsia="Times New Roman" w:hAnsi="Times New Roman"/>
          <w:sz w:val="21"/>
          <w:szCs w:val="21"/>
          <w:i w:val="1"/>
          <w:iCs w:val="1"/>
          <w:u w:val="single" w:color="auto"/>
          <w:color w:val="0000EE"/>
        </w:rPr>
        <w:t>however</w:t>
      </w:r>
      <w:r>
        <w:rPr>
          <w:rFonts w:ascii="Times New Roman" w:cs="Times New Roman" w:eastAsia="Times New Roman" w:hAnsi="Times New Roman"/>
          <w:sz w:val="21"/>
          <w:szCs w:val="21"/>
          <w:u w:val="single" w:color="auto"/>
          <w:color w:val="0000EE"/>
        </w:rPr>
        <w:t>, that no amendment, modification, or waiver of the terms or relative priorities of the Series A Preferred Stock may be accomplished by the merger, consolidation, or other transaction of the Corporation with another corporation or entity unless the</w:t>
      </w:r>
    </w:p>
    <w:p>
      <w:pPr>
        <w:spacing w:after="0" w:line="169" w:lineRule="exact"/>
        <w:rPr>
          <w:sz w:val="20"/>
          <w:szCs w:val="20"/>
          <w:color w:val="auto"/>
        </w:rPr>
      </w:pPr>
    </w:p>
    <w:p>
      <w:pPr>
        <w:ind w:left="560"/>
        <w:spacing w:after="0"/>
        <w:rPr>
          <w:sz w:val="20"/>
          <w:szCs w:val="20"/>
          <w:color w:val="auto"/>
        </w:rPr>
      </w:pPr>
      <w:r>
        <w:rPr>
          <w:rFonts w:ascii="Calibri" w:cs="Calibri" w:eastAsia="Calibri" w:hAnsi="Calibri"/>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ind w:left="180" w:right="199"/>
        <w:spacing w:after="0" w:line="259" w:lineRule="auto"/>
        <w:rPr>
          <w:sz w:val="20"/>
          <w:szCs w:val="20"/>
          <w:color w:val="auto"/>
        </w:rPr>
      </w:pPr>
      <w:r>
        <w:rPr>
          <w:rFonts w:ascii="Times New Roman" w:cs="Times New Roman" w:eastAsia="Times New Roman" w:hAnsi="Times New Roman"/>
          <w:sz w:val="22"/>
          <w:szCs w:val="22"/>
          <w:u w:val="single" w:color="auto"/>
          <w:color w:val="0000EE"/>
        </w:rPr>
        <w:t>Corporation has obtained the prior written consent of the holders in accordance with this Section 12.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Calibri" w:cs="Calibri" w:eastAsia="Calibri" w:hAnsi="Calibri"/>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90170</wp:posOffset>
            </wp:positionV>
            <wp:extent cx="552894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 w:name="page19"/>
    <w:bookmarkEnd w:id="18"/>
    <w:p>
      <w:pPr>
        <w:ind w:left="180" w:right="7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Certificate of Designation is executed on behalf of the Corporation by its authorized signatory as of April 7, 2026.</w:t>
      </w:r>
    </w:p>
    <w:p>
      <w:pPr>
        <w:sectPr>
          <w:pgSz w:w="11900" w:h="16838" w:orient="portrait"/>
          <w:cols w:equalWidth="0" w:num="1">
            <w:col w:w="9019"/>
          </w:cols>
          <w:pgMar w:left="1440" w:top="504" w:right="1440" w:bottom="1440" w:gutter="0" w:footer="0" w:header="0"/>
        </w:sectPr>
      </w:pPr>
    </w:p>
    <w:p>
      <w:pPr>
        <w:spacing w:after="0" w:line="158" w:lineRule="exact"/>
        <w:rPr>
          <w:sz w:val="20"/>
          <w:szCs w:val="20"/>
          <w:color w:val="auto"/>
        </w:rPr>
      </w:pPr>
    </w:p>
    <w:p>
      <w:pPr>
        <w:ind w:left="300"/>
        <w:spacing w:after="0"/>
        <w:rPr>
          <w:sz w:val="20"/>
          <w:szCs w:val="20"/>
          <w:color w:val="auto"/>
        </w:rPr>
      </w:pPr>
      <w:r>
        <w:rPr>
          <w:rFonts w:ascii="Calibri" w:cs="Calibri" w:eastAsia="Calibri" w:hAnsi="Calibri"/>
          <w:sz w:val="22"/>
          <w:szCs w:val="22"/>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AquaBounty Technologies, Inc.</w:t>
      </w:r>
    </w:p>
    <w:p>
      <w:pPr>
        <w:spacing w:after="0" w:line="138" w:lineRule="exact"/>
        <w:rPr>
          <w:sz w:val="20"/>
          <w:szCs w:val="20"/>
          <w:color w:val="auto"/>
        </w:rPr>
      </w:pPr>
    </w:p>
    <w:p>
      <w:pPr>
        <w:sectPr>
          <w:pgSz w:w="11900" w:h="16838" w:orient="portrait"/>
          <w:cols w:equalWidth="0" w:num="2">
            <w:col w:w="3900" w:space="720"/>
            <w:col w:w="4399"/>
          </w:cols>
          <w:pgMar w:left="1440" w:top="504" w:right="1440" w:bottom="1440" w:gutter="0" w:footer="0" w:header="0"/>
          <w:type w:val="continuous"/>
        </w:sectPr>
      </w:pPr>
    </w:p>
    <w:p>
      <w:pPr>
        <w:ind w:left="300"/>
        <w:spacing w:after="0"/>
        <w:rPr>
          <w:sz w:val="20"/>
          <w:szCs w:val="20"/>
          <w:color w:val="auto"/>
        </w:rPr>
      </w:pPr>
      <w:r>
        <w:rPr>
          <w:rFonts w:ascii="Calibri" w:cs="Calibri" w:eastAsia="Calibri" w:hAnsi="Calibri"/>
          <w:sz w:val="22"/>
          <w:szCs w:val="22"/>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w:t>
      </w:r>
      <w:r>
        <w:rPr>
          <w:sz w:val="1"/>
          <w:szCs w:val="1"/>
          <w:color w:val="auto"/>
        </w:rPr>
        <w:drawing>
          <wp:inline distT="0" distB="0" distL="0" distR="0">
            <wp:extent cx="891540" cy="3346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91540" cy="334645"/>
                    </a:xfrm>
                    <a:prstGeom prst="rect">
                      <a:avLst/>
                    </a:prstGeom>
                    <a:noFill/>
                    <a:ln>
                      <a:noFill/>
                    </a:ln>
                  </pic:spPr>
                </pic:pic>
              </a:graphicData>
            </a:graphic>
          </wp:inline>
        </w:drawing>
      </w:r>
      <w:r>
        <w:rPr>
          <w:rFonts w:ascii="Times New Roman" w:cs="Times New Roman" w:eastAsia="Times New Roman" w:hAnsi="Times New Roman"/>
          <w:sz w:val="21"/>
          <w:szCs w:val="21"/>
          <w:color w:val="auto"/>
        </w:rPr>
        <w:t>__________________</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Name: David A. Frank</w:t>
      </w:r>
    </w:p>
    <w:p>
      <w:pPr>
        <w:ind w:left="280"/>
        <w:spacing w:after="0"/>
        <w:rPr>
          <w:sz w:val="20"/>
          <w:szCs w:val="20"/>
          <w:color w:val="auto"/>
        </w:rPr>
      </w:pPr>
      <w:r>
        <w:rPr>
          <w:rFonts w:ascii="Times New Roman" w:cs="Times New Roman" w:eastAsia="Times New Roman" w:hAnsi="Times New Roman"/>
          <w:sz w:val="22"/>
          <w:szCs w:val="22"/>
          <w:color w:val="auto"/>
        </w:rPr>
        <w:t>Title:  Interim Chief Executive Officer</w:t>
      </w:r>
    </w:p>
    <w:p>
      <w:pPr>
        <w:spacing w:after="0" w:line="200" w:lineRule="exact"/>
        <w:rPr>
          <w:sz w:val="20"/>
          <w:szCs w:val="20"/>
          <w:color w:val="auto"/>
        </w:rPr>
      </w:pPr>
    </w:p>
    <w:p>
      <w:pPr>
        <w:sectPr>
          <w:pgSz w:w="11900" w:h="16838" w:orient="portrait"/>
          <w:cols w:equalWidth="0" w:num="2">
            <w:col w:w="3900" w:space="720"/>
            <w:col w:w="4399"/>
          </w:cols>
          <w:pgMar w:left="1440" w:top="504" w:right="1440"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0147620.0810887  4906-1328-9885v5</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Certificate of Designation – AquaBounty Technologies, Inc.</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102235</wp:posOffset>
            </wp:positionV>
            <wp:extent cx="552894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19" w:name="page20"/>
    <w:bookmarkEnd w:id="19"/>
    <w:p>
      <w:pPr>
        <w:jc w:val="right"/>
        <w:ind w:right="199"/>
        <w:spacing w:after="0"/>
        <w:rPr>
          <w:sz w:val="20"/>
          <w:szCs w:val="20"/>
          <w:color w:val="auto"/>
        </w:rPr>
      </w:pPr>
      <w:r>
        <w:rPr>
          <w:rFonts w:ascii="Times New Roman" w:cs="Times New Roman" w:eastAsia="Times New Roman" w:hAnsi="Times New Roman"/>
          <w:sz w:val="22"/>
          <w:szCs w:val="22"/>
          <w:color w:val="auto"/>
        </w:rPr>
        <w:t>Exhibit 10.1</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EXCHANGE AGREEMENT</w:t>
      </w:r>
    </w:p>
    <w:p>
      <w:pPr>
        <w:spacing w:after="0" w:line="178"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This Exchange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April 7, 2026 between AquaBounty Technologies,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purchaser identified on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hereto (each, including its successors and assigns,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180" w:right="19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Investor is a holder of a senior note in the principal amount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(the “</w:t>
      </w:r>
      <w:r>
        <w:rPr>
          <w:rFonts w:ascii="Times New Roman" w:cs="Times New Roman" w:eastAsia="Times New Roman" w:hAnsi="Times New Roman"/>
          <w:sz w:val="22"/>
          <w:szCs w:val="22"/>
          <w:b w:val="1"/>
          <w:bCs w:val="1"/>
          <w:color w:val="auto"/>
        </w:rPr>
        <w:t>Senior Note</w:t>
      </w:r>
      <w:r>
        <w:rPr>
          <w:rFonts w:ascii="Times New Roman" w:cs="Times New Roman" w:eastAsia="Times New Roman" w:hAnsi="Times New Roman"/>
          <w:sz w:val="22"/>
          <w:szCs w:val="22"/>
          <w:color w:val="auto"/>
        </w:rPr>
        <w:t>,” together with the other senior notes issued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Senior Notes</w:t>
      </w:r>
      <w:r>
        <w:rPr>
          <w:rFonts w:ascii="Times New Roman" w:cs="Times New Roman" w:eastAsia="Times New Roman" w:hAnsi="Times New Roman"/>
          <w:sz w:val="22"/>
          <w:szCs w:val="22"/>
          <w:color w:val="auto"/>
        </w:rPr>
        <w:t xml:space="preserve"> ”) issued by the Company pursuant to a Note Purchase Agreement, dated October 28, 2025, by and among the Company and the original holders of the Senior Notes (collectively, the “</w:t>
      </w:r>
      <w:r>
        <w:rPr>
          <w:rFonts w:ascii="Times New Roman" w:cs="Times New Roman" w:eastAsia="Times New Roman" w:hAnsi="Times New Roman"/>
          <w:sz w:val="22"/>
          <w:szCs w:val="22"/>
          <w:b w:val="1"/>
          <w:bCs w:val="1"/>
          <w:color w:val="auto"/>
        </w:rPr>
        <w:t>Investors</w:t>
      </w:r>
      <w:r>
        <w:rPr>
          <w:rFonts w:ascii="Times New Roman" w:cs="Times New Roman" w:eastAsia="Times New Roman" w:hAnsi="Times New Roman"/>
          <w:sz w:val="22"/>
          <w:szCs w:val="22"/>
          <w:color w:val="auto"/>
        </w:rPr>
        <w:t>”), as amended, modified, or supplemented from time to time in accordance with its terms (the “</w:t>
      </w:r>
      <w:r>
        <w:rPr>
          <w:rFonts w:ascii="Times New Roman" w:cs="Times New Roman" w:eastAsia="Times New Roman" w:hAnsi="Times New Roman"/>
          <w:sz w:val="22"/>
          <w:szCs w:val="22"/>
          <w:b w:val="1"/>
          <w:bCs w:val="1"/>
          <w:color w:val="auto"/>
        </w:rPr>
        <w:t>Note Purchase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 the Company wishes to offer for sale to the Investors up to an aggregate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$5,000,000 in Preferred Stock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designated as “Series A Convertible Preferred Stock” (the “</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xml:space="preserve">”), and (ii) as part of the Offering, the Investor wishes to exchange the Senior Note in order to purchase from the Company the amount of shares of Series A Preferred Stock set forth on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and the Company wishes to sell the Shares to the Investor in exchange for the delivery and cancellation of the Senior Note, upon the terms and conditions stated in this Agreement.</w:t>
      </w:r>
    </w:p>
    <w:p>
      <w:pPr>
        <w:spacing w:after="0" w:line="17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Investor are executing and delivering this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reliance upon an exemption from securities registration requirements of the Securities Act of 1933, as amended, afforded by the provisions of Section 4(a)(2) and/or Rule 506(b) of Regulation D promulgated thereunder by the U.S. Securities and Exchange Commission.</w:t>
      </w:r>
    </w:p>
    <w:p>
      <w:pPr>
        <w:spacing w:after="0" w:line="17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for other good and valuable consideration, the receipt and adequacy of which are hereby acknowledged, the Company and Investor agree as follows:</w:t>
      </w:r>
    </w:p>
    <w:p>
      <w:pPr>
        <w:spacing w:after="0" w:line="1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u w:val="single" w:color="auto"/>
          <w:color w:val="auto"/>
        </w:rPr>
        <w:t>ARTICLE I</w:t>
      </w:r>
    </w:p>
    <w:p>
      <w:pPr>
        <w:spacing w:after="0" w:line="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In addition to the terms defined elsewhere in this Agreement, the following terms have the meanings set forth in this Agreement.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Action</w:t>
      </w:r>
      <w:r>
        <w:rPr>
          <w:rFonts w:ascii="Times New Roman" w:cs="Times New Roman" w:eastAsia="Times New Roman" w:hAnsi="Times New Roman"/>
          <w:sz w:val="22"/>
          <w:szCs w:val="22"/>
          <w:color w:val="auto"/>
        </w:rPr>
        <w:t>” means any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w:t>
      </w:r>
    </w:p>
    <w:p>
      <w:pPr>
        <w:spacing w:after="0" w:line="17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137795</wp:posOffset>
            </wp:positionV>
            <wp:extent cx="552894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0" w:name="page21"/>
    <w:bookmarkEnd w:id="20"/>
    <w:p>
      <w:pPr>
        <w:jc w:val="both"/>
        <w:ind w:left="180" w:right="19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Saturday, Sunday, any day which is a federal legal holiday in the United States or any day on which banking institutions in the State of New York are authorized or required by law or other governmental action to close.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means the closing of the purchase and sale of the Shares pursuant to Section</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2.01.</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means the date hereof.</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 par value $0.001 per share, and any other class of securities into which such securities may hereafter be reclassified or changed.</w:t>
      </w:r>
    </w:p>
    <w:p>
      <w:pPr>
        <w:spacing w:after="0" w:line="167" w:lineRule="exact"/>
        <w:rPr>
          <w:sz w:val="20"/>
          <w:szCs w:val="20"/>
          <w:color w:val="auto"/>
        </w:rPr>
      </w:pPr>
    </w:p>
    <w:p>
      <w:pPr>
        <w:jc w:val="both"/>
        <w:ind w:left="180" w:right="199"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Waiver Letter</w:t>
      </w:r>
      <w:r>
        <w:rPr>
          <w:rFonts w:ascii="Times New Roman" w:cs="Times New Roman" w:eastAsia="Times New Roman" w:hAnsi="Times New Roman"/>
          <w:sz w:val="21"/>
          <w:szCs w:val="21"/>
          <w:color w:val="auto"/>
        </w:rPr>
        <w:t>” means that certain default waiver letter to be entered into by the Company and the Investors in respect of certain compliance or remedial measures taken by Nasdaq in respect of the Common Stock in light of certain information that the Company included in its Form 10-K for the fiscal year ended December 31, 2025, which was filed on March 31, 2026.</w:t>
      </w:r>
    </w:p>
    <w:p>
      <w:pPr>
        <w:spacing w:after="0" w:line="158"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U.S. generally accepted accounting principles consistently applied.</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means any national, federal, state, county, municipal, local or foreign government, or any political subdivision, court, body, agency or regulatory authority thereof, and any person exercising executive, legislative, judicial, regulatory, taxing or administrative functions of or pertaining to any of the foregoing.</w:t>
      </w:r>
    </w:p>
    <w:p>
      <w:pPr>
        <w:spacing w:after="0" w:line="172"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any law, statute, common law, rule, code, executive order, directive, ordinance, regulation, order, statutory guidance, regulatory code of practice, permit or term or condition thereof, binding action or other requirement issued, entered, enforced or applied by any Governmental Entity.</w:t>
      </w:r>
    </w:p>
    <w:p>
      <w:pPr>
        <w:spacing w:after="0" w:line="172"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shall mean a lien, charge, security interest, encumbrance, right of first refusal, preemptive right or other similar restriction or adverse claim of a third party.</w:t>
      </w:r>
    </w:p>
    <w:p>
      <w:pPr>
        <w:spacing w:after="0" w:line="150"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shall mean any events, changes or developments that, individually or in the aggregate, have a material adverse effect on the business, financial condition or results of operations of the Company and its Subsidiaries as currently conducted, taken as a whole, other than any event, change or development resulting from or arising out of the following:</w:t>
      </w:r>
    </w:p>
    <w:p>
      <w:pPr>
        <w:spacing w:after="0" w:line="2" w:lineRule="exact"/>
        <w:rPr>
          <w:sz w:val="20"/>
          <w:szCs w:val="20"/>
          <w:color w:val="auto"/>
        </w:rPr>
      </w:pPr>
    </w:p>
    <w:p>
      <w:pPr>
        <w:jc w:val="both"/>
        <w:ind w:left="180" w:right="199" w:firstLine="4"/>
        <w:spacing w:after="0" w:line="245" w:lineRule="auto"/>
        <w:tabs>
          <w:tab w:leader="none" w:pos="50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 changes or developments generally affecting the economy, the financial or securities markets, or political, legislative or regulatory conditions, in each case in the United States or elsewhere in the world, (b) events, changes or developments in the industries in which the Company or any of its Subsidiaries conducts its business, (c) any adoption, implementation, promulgation, repeal, modification, reinterpretation or proposal of (i) any Law by a Governmental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 w:name="page22"/>
    <w:bookmarkEnd w:id="21"/>
    <w:p>
      <w:pPr>
        <w:jc w:val="both"/>
        <w:ind w:left="180" w:right="199"/>
        <w:spacing w:after="0" w:line="243" w:lineRule="auto"/>
        <w:rPr>
          <w:sz w:val="20"/>
          <w:szCs w:val="20"/>
          <w:color w:val="auto"/>
        </w:rPr>
      </w:pPr>
      <w:r>
        <w:rPr>
          <w:rFonts w:ascii="Times New Roman" w:cs="Times New Roman" w:eastAsia="Times New Roman" w:hAnsi="Times New Roman"/>
          <w:sz w:val="21"/>
          <w:szCs w:val="21"/>
          <w:color w:val="auto"/>
        </w:rPr>
        <w:t>Entity or (ii) rule or regulation by a market administrator, (d) any changes in GAAP or accounting standards or interpretations thereof, (e) earthquakes, any weather-related or other force majeure event or natural disasters, pandemics or outbreak or escalation of hostilities or acts of war or terrorism, (f) the announcement or the existence of, compliance with or performance under, this Agreement or the transactions contemplated hereby (it being understood and agreed that the exception in this clause (f) shall not apply with respect to any representation or warranty that is intended to address the consequences of the execution, delivery or performance of this Agreement or the consummation of the transactions contemplated hereby), (g) any taking of any action at the request of the Investor, (h) any failure by the Company to meet any financial projections or forecasts or estimates of revenues, earnings or other financial metrics for any period (provided that the exception in this clause (h) shall not prevent or otherwise affect a determination that any event, change, effect or development underlying such failure has resulted in a Material Adverse Effect so long as it is not otherwise excluded by this definition) or (i) any changes in the share price or trading volume of the Company’s Common Stock or in the Company’s credit rating (provided that the exception in this clause (i) shall not prevent or otherwise affect a determination that any event, change, effect or development underlying such change has resulted in a Material Adverse Effect so long as it is not otherwise excluded by this definition); except, in each case with respect to subclauses (a) through (e), to the extent that such event, change or development disproportionately affects the Company and its Subsidiaries, taken as a whole, relative to other similarly situated companies in the industries in which the Company and its Subsidiaries conduct their business.</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means The Nasdaq Stock Market LLC.</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joint-venture, limited liability company, joint-stock company, government (or an agency or subdivision thereof) or other entity of any kind.</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Agent</w:t>
      </w:r>
      <w:r>
        <w:rPr>
          <w:rFonts w:ascii="Times New Roman" w:cs="Times New Roman" w:eastAsia="Times New Roman" w:hAnsi="Times New Roman"/>
          <w:sz w:val="22"/>
          <w:szCs w:val="22"/>
          <w:color w:val="auto"/>
        </w:rPr>
        <w:t>” means Univest Securities, LLC.</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means the preferred stock of the Company, par value $0.01 per share, and any other class of securities into which such securities may hereafter be reclassified or changed.</w:t>
      </w:r>
    </w:p>
    <w:p>
      <w:pPr>
        <w:spacing w:after="0" w:line="167"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 action, claim, suit, investigation or proceeding (including, without limitation, an informal investigation or partial proceeding, such as a deposition), whether commenced or threatened.</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 Reports</w:t>
      </w:r>
      <w:r>
        <w:rPr>
          <w:rFonts w:ascii="Times New Roman" w:cs="Times New Roman" w:eastAsia="Times New Roman" w:hAnsi="Times New Roman"/>
          <w:sz w:val="22"/>
          <w:szCs w:val="22"/>
          <w:color w:val="auto"/>
        </w:rPr>
        <w:t>” means collectively all reports, schedules, forms, statements and other documents required to be filed by the Company under the Securities Act and the Exchange Act, including pursuant to Section 13(a) or 15(d) thereof, since January 1, 2024 (including the exhibits thereto and documents incorporated by reference therein).</w:t>
      </w:r>
    </w:p>
    <w:p>
      <w:pPr>
        <w:spacing w:after="0" w:line="172"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2" w:name="page23"/>
    <w:bookmarkEnd w:id="22"/>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State Securities Laws</w:t>
      </w:r>
      <w:r>
        <w:rPr>
          <w:rFonts w:ascii="Times New Roman" w:cs="Times New Roman" w:eastAsia="Times New Roman" w:hAnsi="Times New Roman"/>
          <w:sz w:val="22"/>
          <w:szCs w:val="22"/>
          <w:color w:val="auto"/>
        </w:rPr>
        <w:t>” means the securities (or “blue sky”) rules, regulations, or other similar laws of a particular state.</w:t>
      </w:r>
    </w:p>
    <w:p>
      <w:pPr>
        <w:spacing w:after="0" w:line="150"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individual or entity the Company wholly owns or controls, or in which the Company, directly or indirectly, owns a majority of the voting stock or similar voting interest, in each case that is or would be disclosable pursuant to Item 601(b)(21) of Regulation S-K promulgated under the Securities Act.</w:t>
      </w:r>
    </w:p>
    <w:p>
      <w:pPr>
        <w:spacing w:after="0" w:line="17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this Agreement and all appendices, exhibits and schedules hereto and thereto and any other documents or agreements executed in connection with the transactions contemplated hereunder.</w:t>
      </w:r>
    </w:p>
    <w:p>
      <w:pPr>
        <w:spacing w:after="0" w:line="16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ARTICLE II</w:t>
      </w:r>
    </w:p>
    <w:p>
      <w:pPr>
        <w:spacing w:after="0" w:line="1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9" w:lineRule="auto"/>
        <w:tabs>
          <w:tab w:leader="none" w:pos="218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Closing Date, upon the terms and subject to the conditions set forth herein, substantially concurrent with the execution and delivery of this Agreement by the parties hereto, the Investor agrees to purchase, and the Company agrees to sell, the Shares in exchange for the consideration listed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7" w:lineRule="auto"/>
        <w:tabs>
          <w:tab w:leader="none" w:pos="229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and the Investor agree that on the Closing Date, notwithstanding any provisions of the Note Purchase Agreement or the Senior Note to the contrary, the principal amount of the Senior Note and any and all interest accrued thereon shall be exchanged in its entirety for the Shares and the Senior Note shall be deemed paid in full and cancelled, shall have no further force or effect and shall not be re-issued, assigned or re-sold. The Company and the Investor further agree that the exchange ratio in respect of the amount of Shares to be issued to the Investor will be determined by reference to the closing sale price of the Common Stock on Nasdaq for the trading day immediately preceding the Closing Date, as more fully set forth on </w:t>
      </w:r>
      <w:r>
        <w:rPr>
          <w:rFonts w:ascii="Times New Roman" w:cs="Times New Roman" w:eastAsia="Times New Roman" w:hAnsi="Times New Roman"/>
          <w:sz w:val="21"/>
          <w:szCs w:val="21"/>
          <w:b w:val="1"/>
          <w:bCs w:val="1"/>
          <w:u w:val="single" w:color="auto"/>
          <w:color w:val="auto"/>
        </w:rPr>
        <w:t>Annex 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199" w:firstLine="1300"/>
        <w:spacing w:after="0" w:line="258" w:lineRule="auto"/>
        <w:tabs>
          <w:tab w:leader="none" w:pos="21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Investor</w:t>
      </w:r>
      <w:r>
        <w:rPr>
          <w:rFonts w:ascii="Times New Roman" w:cs="Times New Roman" w:eastAsia="Times New Roman" w:hAnsi="Times New Roman"/>
          <w:sz w:val="22"/>
          <w:szCs w:val="22"/>
          <w:color w:val="auto"/>
        </w:rPr>
        <w:t>. On or prior to the Closing Date, the Investor shall deliver or cause to be delivered to the Company the following:</w:t>
      </w:r>
    </w:p>
    <w:p>
      <w:pPr>
        <w:spacing w:after="0" w:line="158" w:lineRule="exact"/>
        <w:rPr>
          <w:rFonts w:ascii="Times New Roman" w:cs="Times New Roman" w:eastAsia="Times New Roman" w:hAnsi="Times New Roman"/>
          <w:sz w:val="22"/>
          <w:szCs w:val="22"/>
          <w:color w:val="auto"/>
        </w:rPr>
      </w:pPr>
    </w:p>
    <w:p>
      <w:pPr>
        <w:ind w:left="2840" w:hanging="712"/>
        <w:spacing w:after="0"/>
        <w:tabs>
          <w:tab w:leader="none" w:pos="28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the Investor;</w:t>
      </w:r>
    </w:p>
    <w:p>
      <w:pPr>
        <w:spacing w:after="0" w:line="206" w:lineRule="exact"/>
        <w:rPr>
          <w:rFonts w:ascii="Times New Roman" w:cs="Times New Roman" w:eastAsia="Times New Roman" w:hAnsi="Times New Roman"/>
          <w:sz w:val="22"/>
          <w:szCs w:val="22"/>
          <w:color w:val="auto"/>
        </w:rPr>
      </w:pPr>
    </w:p>
    <w:p>
      <w:pPr>
        <w:ind w:left="2880" w:hanging="752"/>
        <w:spacing w:after="0"/>
        <w:tabs>
          <w:tab w:leader="none" w:pos="288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Note for cancellation; and</w:t>
      </w:r>
    </w:p>
    <w:p>
      <w:pPr>
        <w:spacing w:after="0" w:line="206" w:lineRule="exact"/>
        <w:rPr>
          <w:rFonts w:ascii="Times New Roman" w:cs="Times New Roman" w:eastAsia="Times New Roman" w:hAnsi="Times New Roman"/>
          <w:sz w:val="22"/>
          <w:szCs w:val="22"/>
          <w:color w:val="auto"/>
        </w:rPr>
      </w:pPr>
    </w:p>
    <w:p>
      <w:pPr>
        <w:ind w:left="2980" w:hanging="852"/>
        <w:spacing w:after="0"/>
        <w:tabs>
          <w:tab w:leader="none" w:pos="298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Default Waiver Letter, duly executed by the Investor, if</w:t>
      </w:r>
    </w:p>
    <w:p>
      <w:pPr>
        <w:spacing w:after="0" w:line="14"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22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w:t>
      </w:r>
      <w:r>
        <w:rPr>
          <w:rFonts w:ascii="Times New Roman" w:cs="Times New Roman" w:eastAsia="Times New Roman" w:hAnsi="Times New Roman"/>
          <w:sz w:val="22"/>
          <w:szCs w:val="22"/>
          <w:color w:val="auto"/>
        </w:rPr>
        <w:t>. On or prior to the Closing Date, the Company shall deliver or cause to be delivered to the Investor: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3" w:name="page24"/>
    <w:bookmarkEnd w:id="23"/>
    <w:p>
      <w:pPr>
        <w:ind w:left="2860" w:hanging="732"/>
        <w:spacing w:after="0"/>
        <w:tabs>
          <w:tab w:leader="none" w:pos="28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an authorized officer of behalf of</w:t>
      </w:r>
    </w:p>
    <w:p>
      <w:pPr>
        <w:spacing w:after="0" w:line="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the Company;</w:t>
      </w:r>
    </w:p>
    <w:p>
      <w:pPr>
        <w:spacing w:after="0" w:line="182" w:lineRule="exact"/>
        <w:rPr>
          <w:sz w:val="20"/>
          <w:szCs w:val="20"/>
          <w:color w:val="auto"/>
        </w:rPr>
      </w:pPr>
    </w:p>
    <w:p>
      <w:pPr>
        <w:ind w:left="2880" w:hanging="752"/>
        <w:spacing w:after="0"/>
        <w:tabs>
          <w:tab w:leader="none" w:pos="28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evidence of the issuance of the Shares;</w:t>
      </w:r>
    </w:p>
    <w:p>
      <w:pPr>
        <w:spacing w:after="0" w:line="206"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1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evidence of the filing of the Certificate of Designations with respect to the Shares with the Secretary of State of the State of Delaware; and</w:t>
      </w:r>
    </w:p>
    <w:p>
      <w:pPr>
        <w:spacing w:after="0" w:line="158" w:lineRule="exact"/>
        <w:rPr>
          <w:rFonts w:ascii="Times New Roman" w:cs="Times New Roman" w:eastAsia="Times New Roman" w:hAnsi="Times New Roman"/>
          <w:sz w:val="22"/>
          <w:szCs w:val="22"/>
          <w:color w:val="auto"/>
        </w:rPr>
      </w:pPr>
    </w:p>
    <w:p>
      <w:pPr>
        <w:ind w:left="2920" w:hanging="792"/>
        <w:spacing w:after="0"/>
        <w:tabs>
          <w:tab w:leader="none" w:pos="29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of the Company certifying the Company’s:</w:t>
      </w:r>
    </w:p>
    <w:p>
      <w:pPr>
        <w:spacing w:after="0" w:line="14" w:lineRule="exact"/>
        <w:rPr>
          <w:rFonts w:ascii="Times New Roman" w:cs="Times New Roman" w:eastAsia="Times New Roman" w:hAnsi="Times New Roman"/>
          <w:sz w:val="22"/>
          <w:szCs w:val="22"/>
          <w:color w:val="auto"/>
        </w:rPr>
      </w:pPr>
    </w:p>
    <w:p>
      <w:pPr>
        <w:jc w:val="both"/>
        <w:ind w:left="840" w:right="199" w:hanging="8"/>
        <w:spacing w:after="0" w:line="235" w:lineRule="auto"/>
        <w:tabs>
          <w:tab w:leader="none" w:pos="11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standing certificate in its state of incorporation and (B) resolutions of the Board of Directors approving and authorizing the execution, delivery and performance of the Transaction Documents and the transactions contemplated thereby.</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Closing Conditions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199" w:firstLine="1300"/>
        <w:spacing w:after="0" w:line="258" w:lineRule="auto"/>
        <w:tabs>
          <w:tab w:leader="none" w:pos="21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hereunder in connection with the Closing are subject to the following conditions being met:</w:t>
      </w:r>
    </w:p>
    <w:p>
      <w:pPr>
        <w:spacing w:after="0" w:line="158"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on the Closing Date of Investor’s representations and warranties contained herein;</w:t>
      </w:r>
    </w:p>
    <w:p>
      <w:pPr>
        <w:spacing w:after="0" w:line="158"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88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the Investor required to be performed at or prior to the Closing Date shall have been performed; and</w:t>
      </w:r>
    </w:p>
    <w:p>
      <w:pPr>
        <w:spacing w:after="0" w:line="158" w:lineRule="exact"/>
        <w:rPr>
          <w:rFonts w:ascii="Times New Roman" w:cs="Times New Roman" w:eastAsia="Times New Roman" w:hAnsi="Times New Roman"/>
          <w:sz w:val="22"/>
          <w:szCs w:val="22"/>
          <w:color w:val="auto"/>
        </w:rPr>
      </w:pPr>
    </w:p>
    <w:p>
      <w:pPr>
        <w:ind w:left="2900" w:hanging="772"/>
        <w:spacing w:after="0"/>
        <w:tabs>
          <w:tab w:leader="none" w:pos="290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delivery by the Investor of the items set forth in </w:t>
      </w:r>
      <w:r>
        <w:rPr>
          <w:rFonts w:ascii="Times New Roman" w:cs="Times New Roman" w:eastAsia="Times New Roman" w:hAnsi="Times New Roman"/>
          <w:sz w:val="21"/>
          <w:szCs w:val="21"/>
          <w:u w:val="single" w:color="auto"/>
          <w:color w:val="auto"/>
        </w:rPr>
        <w:t>Section 2.02(a)</w:t>
      </w:r>
    </w:p>
    <w:p>
      <w:pPr>
        <w:spacing w:after="0" w:line="25" w:lineRule="exact"/>
        <w:rPr>
          <w:rFonts w:ascii="Times New Roman" w:cs="Times New Roman" w:eastAsia="Times New Roman" w:hAnsi="Times New Roman"/>
          <w:sz w:val="21"/>
          <w:szCs w:val="21"/>
          <w:color w:val="auto"/>
        </w:rPr>
      </w:pPr>
    </w:p>
    <w:p>
      <w:pPr>
        <w:ind w:left="8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this Agreement.</w:t>
      </w:r>
    </w:p>
    <w:p>
      <w:pPr>
        <w:spacing w:after="0" w:line="182"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21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Investor hereunder in connection with the Closing are subject to the following conditions being met (it being understood that the Company may waive any of the conditions for any Closing hereafter):</w:t>
      </w:r>
    </w:p>
    <w:p>
      <w:pPr>
        <w:spacing w:after="0" w:line="173" w:lineRule="exact"/>
        <w:rPr>
          <w:rFonts w:ascii="Times New Roman" w:cs="Times New Roman" w:eastAsia="Times New Roman" w:hAnsi="Times New Roman"/>
          <w:sz w:val="22"/>
          <w:szCs w:val="22"/>
          <w:color w:val="auto"/>
        </w:rPr>
      </w:pPr>
    </w:p>
    <w:p>
      <w:pPr>
        <w:jc w:val="both"/>
        <w:ind w:left="840" w:right="199" w:firstLine="1288"/>
        <w:spacing w:after="0" w:line="238" w:lineRule="auto"/>
        <w:tabs>
          <w:tab w:leader="none" w:pos="285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6"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89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the Company required to be performed at or prior to the Closing Date shall have been performed; and</w:t>
      </w:r>
    </w:p>
    <w:p>
      <w:pPr>
        <w:spacing w:after="0" w:line="158"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5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delivery by the Company of the items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2.02(b)</w:t>
      </w:r>
      <w:r>
        <w:rPr>
          <w:rFonts w:ascii="Times New Roman" w:cs="Times New Roman" w:eastAsia="Times New Roman" w:hAnsi="Times New Roman"/>
          <w:sz w:val="22"/>
          <w:szCs w:val="22"/>
          <w:color w:val="auto"/>
        </w:rPr>
        <w:t xml:space="preserve"> of this Agreement.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hereby represents and warrants to Investor that, except as set forth in extant SEC Reports, the following representations are true and complete as of the date hereof.</w:t>
      </w:r>
    </w:p>
    <w:p>
      <w:pPr>
        <w:spacing w:after="0" w:line="173" w:lineRule="exact"/>
        <w:rPr>
          <w:sz w:val="20"/>
          <w:szCs w:val="20"/>
          <w:color w:val="auto"/>
        </w:rPr>
      </w:pPr>
    </w:p>
    <w:p>
      <w:pPr>
        <w:jc w:val="both"/>
        <w:ind w:left="180" w:right="199" w:firstLine="1300"/>
        <w:spacing w:after="0" w:line="234" w:lineRule="auto"/>
        <w:tabs>
          <w:tab w:leader="none" w:pos="218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and to execute and deliver this Agreement. Each of the Company and its Subsidiaries is duly qualified to do business as a foreign corporation and is in good standing under the Laws of each jurisdiction which requires such qualification. The Company has no Subsidiaries except for Aqua Bounty Farms Chile Limitada, an entity organized in Chile, AquaBounty Farms, Inc., a Delaware corporation, AquaBounty Farms Indiana LLC, a Delaware limited liability company, and AquaBounty Farms Ohio LLC, an Ohio limited liability company.</w:t>
      </w:r>
    </w:p>
    <w:p>
      <w:pPr>
        <w:spacing w:after="0" w:line="179" w:lineRule="exact"/>
        <w:rPr>
          <w:rFonts w:ascii="Times New Roman" w:cs="Times New Roman" w:eastAsia="Times New Roman" w:hAnsi="Times New Roman"/>
          <w:sz w:val="22"/>
          <w:szCs w:val="22"/>
          <w:color w:val="auto"/>
        </w:rPr>
      </w:pPr>
    </w:p>
    <w:p>
      <w:pPr>
        <w:ind w:left="2200" w:hanging="720"/>
        <w:spacing w:after="0"/>
        <w:tabs>
          <w:tab w:leader="none" w:pos="22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40" w:right="199" w:firstLine="1288"/>
        <w:spacing w:after="0" w:line="236" w:lineRule="auto"/>
        <w:tabs>
          <w:tab w:leader="none" w:pos="2880"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authorized, executed and delivered by the Company, and constitutes the legal, valid and binding obligation of the Company, enforceable against the Company in accordance with its terms, except (i) as limited by applicable bankruptcy, insolvency, reorganization or similar Laws relating to or affecting the enforcement of creditors’ rights generally and (ii) as limited by equitable principles generally.</w:t>
      </w:r>
    </w:p>
    <w:p>
      <w:pPr>
        <w:spacing w:after="0" w:line="181" w:lineRule="exact"/>
        <w:rPr>
          <w:rFonts w:ascii="Times New Roman" w:cs="Times New Roman" w:eastAsia="Times New Roman" w:hAnsi="Times New Roman"/>
          <w:sz w:val="22"/>
          <w:szCs w:val="22"/>
          <w:color w:val="auto"/>
        </w:rPr>
      </w:pPr>
    </w:p>
    <w:p>
      <w:pPr>
        <w:jc w:val="both"/>
        <w:ind w:left="840" w:right="199" w:firstLine="1288"/>
        <w:spacing w:after="0" w:line="238" w:lineRule="auto"/>
        <w:tabs>
          <w:tab w:leader="none" w:pos="2886"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duly and validly authorized and, when issued and delivered to and paid for by the Investor pursuant to this Agreement, will be validly issued, fully paid and nonassessable and not subject to any Liens. The issuance and sale of the Shares will not obligate the Company or any Subsidiary to issue shares of Common Stock, Preferred Stock or other securities to any Person.</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7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issuance of the Shares, nor the consummation of any of the other transactions herein contemplated nor the fulfillment of the terms hereof, will conflict with, result in a breach or violation of, or imposition of any Lien upon any property or assets of the Company or its Subsidiaries pursuant to, (i) the charter or by-laws of the Company or its Subsidiaries, (ii) the terms of any indenture, contract, lease, mortgage, deed of trust, note agreement, loan agreement or other agreement, obligation, condition, covenant or instrument to which the Company or its Subsidiaries are a party or bound or to which its property is subject, or</w:t>
      </w:r>
    </w:p>
    <w:p>
      <w:pPr>
        <w:spacing w:after="0" w:line="5" w:lineRule="exact"/>
        <w:rPr>
          <w:rFonts w:ascii="Times New Roman" w:cs="Times New Roman" w:eastAsia="Times New Roman" w:hAnsi="Times New Roman"/>
          <w:sz w:val="22"/>
          <w:szCs w:val="22"/>
          <w:color w:val="auto"/>
        </w:rPr>
      </w:pPr>
    </w:p>
    <w:p>
      <w:pPr>
        <w:jc w:val="both"/>
        <w:ind w:left="180" w:right="199" w:firstLine="4"/>
        <w:spacing w:after="0" w:line="235" w:lineRule="auto"/>
        <w:tabs>
          <w:tab w:leader="none" w:pos="62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Law applicable to the Company or its Subsidiaries of any court, regulatory body, administrative agency, governmental body, arbitrator or other authority having jurisdiction over the Company, its Subsidiaries or any of their properties.</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61" w:lineRule="auto"/>
        <w:tabs>
          <w:tab w:leader="none" w:pos="2241"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Filings, Consents and Approvals</w:t>
      </w:r>
      <w:r>
        <w:rPr>
          <w:rFonts w:ascii="Times New Roman" w:cs="Times New Roman" w:eastAsia="Times New Roman" w:hAnsi="Times New Roman"/>
          <w:sz w:val="21"/>
          <w:szCs w:val="21"/>
          <w:color w:val="auto"/>
        </w:rPr>
        <w:t>. No consent, approval, authorization, filing with or order of any court or governmental agency or body is required in connection with the transactions contemplated herein, except for any post-Closing filings as may be required under</w:t>
      </w:r>
    </w:p>
    <w:p>
      <w:pPr>
        <w:spacing w:after="0" w:line="1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jc w:val="both"/>
        <w:ind w:left="180" w:right="199"/>
        <w:spacing w:after="0" w:line="244" w:lineRule="auto"/>
        <w:rPr>
          <w:sz w:val="20"/>
          <w:szCs w:val="20"/>
          <w:color w:val="auto"/>
        </w:rPr>
      </w:pPr>
      <w:r>
        <w:rPr>
          <w:rFonts w:ascii="Times New Roman" w:cs="Times New Roman" w:eastAsia="Times New Roman" w:hAnsi="Times New Roman"/>
          <w:sz w:val="22"/>
          <w:szCs w:val="22"/>
          <w:color w:val="auto"/>
        </w:rPr>
        <w:t>the Securities Act or the blue sky Laws of any jurisdiction in connection with the purchase of the Shares by the Investor, or compliance with any required filings pursuant to the Exchange Act or the rules of the SEC or Nasdaq.</w:t>
      </w:r>
    </w:p>
    <w:p>
      <w:pPr>
        <w:spacing w:after="0" w:line="174" w:lineRule="exact"/>
        <w:rPr>
          <w:sz w:val="20"/>
          <w:szCs w:val="20"/>
          <w:color w:val="auto"/>
        </w:rPr>
      </w:pPr>
    </w:p>
    <w:p>
      <w:pPr>
        <w:jc w:val="both"/>
        <w:ind w:left="180" w:right="199" w:firstLine="1300"/>
        <w:spacing w:after="0" w:line="245" w:lineRule="auto"/>
        <w:tabs>
          <w:tab w:leader="none" w:pos="220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As of the date hereof, the authorized capital stock of the Company consists of 80,000,000 shares of capital stock, of which 75,000,000 is designated as Common Stock, $0.001 par value per share, and 5,000,000 is designated as Preferred Stock, $0.01 par value per share. As of March 31, 2026: (i) 5,147,204 shares of Common Stock were issued and outstanding; (ii) 37,594 shares of Common Stock were issuable (and such number was reserved for issuance) upon exercise or vesting of Common Stock-based awards outstanding as of such date,</w:t>
      </w:r>
    </w:p>
    <w:p>
      <w:pPr>
        <w:spacing w:after="0" w:line="2" w:lineRule="exact"/>
        <w:rPr>
          <w:rFonts w:ascii="Times New Roman" w:cs="Times New Roman" w:eastAsia="Times New Roman" w:hAnsi="Times New Roman"/>
          <w:sz w:val="21"/>
          <w:szCs w:val="21"/>
          <w:color w:val="auto"/>
        </w:rPr>
      </w:pPr>
    </w:p>
    <w:p>
      <w:pPr>
        <w:jc w:val="both"/>
        <w:ind w:left="180" w:right="199" w:firstLine="4"/>
        <w:spacing w:after="0" w:line="242" w:lineRule="auto"/>
        <w:tabs>
          <w:tab w:leader="none" w:pos="56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prefunded warrants to purchase 67,706 shares of Common Stock were outstanding and (iv) no shares of Preferred Stock were outstanding. The outstanding shares of Common Stock have been duly and validly authorized and issued and are fully paid and nonassessable. No Person has any right of first refusal, preemptive right, right of participation, or any similar right to participate in the transactions contemplated by the Transaction Documents, and the issuance and sale of the Shares will not obligate the Company or any Subsidiary to issue Common Stock, Preferred Stock or other securities to any Person and will not result in a right of any holder of Company securities to adjust the exercise, conversion, exchange or reset price under any of such securities. Except as set forth above and except for any shares of Common Stock that are issuable upon exercise or vesting of Common Stock-based awards granted pursuant to the Company’s 2006 or 2016 equity incentive plans (collectively, the “</w:t>
      </w:r>
      <w:r>
        <w:rPr>
          <w:rFonts w:ascii="Times New Roman" w:cs="Times New Roman" w:eastAsia="Times New Roman" w:hAnsi="Times New Roman"/>
          <w:sz w:val="21"/>
          <w:szCs w:val="21"/>
          <w:b w:val="1"/>
          <w:bCs w:val="1"/>
          <w:color w:val="auto"/>
        </w:rPr>
        <w:t>Equity Incentive Plans</w:t>
      </w:r>
      <w:r>
        <w:rPr>
          <w:rFonts w:ascii="Times New Roman" w:cs="Times New Roman" w:eastAsia="Times New Roman" w:hAnsi="Times New Roman"/>
          <w:sz w:val="21"/>
          <w:szCs w:val="21"/>
          <w:color w:val="auto"/>
        </w:rPr>
        <w:t>”) since December 31, 2025, no options, warrants or other rights to purchase, agreements or other obligations to issue, or rights to convert any obligations into or exchange any securities for, shares of capital stock of or ownership interests in the Company are outstanding. There are no stockholder agreements, voting agreements or other similar agreements with respect to the Company’s capital stock to which the Company is a party or, to the knowledge of the Company, between or among any of the Company’s stockholders</w:t>
      </w:r>
    </w:p>
    <w:p>
      <w:pPr>
        <w:spacing w:after="0" w:line="184" w:lineRule="exact"/>
        <w:rPr>
          <w:rFonts w:ascii="Times New Roman" w:cs="Times New Roman" w:eastAsia="Times New Roman" w:hAnsi="Times New Roman"/>
          <w:sz w:val="21"/>
          <w:szCs w:val="21"/>
          <w:color w:val="auto"/>
        </w:rPr>
      </w:pPr>
    </w:p>
    <w:p>
      <w:pPr>
        <w:ind w:left="2200" w:hanging="720"/>
        <w:spacing w:after="0"/>
        <w:tabs>
          <w:tab w:leader="none" w:pos="22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Reports; Financial Statements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40" w:right="199" w:firstLine="1288"/>
        <w:spacing w:after="0" w:line="244" w:lineRule="auto"/>
        <w:tabs>
          <w:tab w:leader="none" w:pos="2853"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filed all SEC Reports since January 1, 2024 on a timely basis or has received a valid extension of such time of filing and has filed any such SEC Reports before the expiration of any such extension.</w:t>
      </w:r>
    </w:p>
    <w:p>
      <w:pPr>
        <w:spacing w:after="0" w:line="173" w:lineRule="exact"/>
        <w:rPr>
          <w:rFonts w:ascii="Times New Roman" w:cs="Times New Roman" w:eastAsia="Times New Roman" w:hAnsi="Times New Roman"/>
          <w:sz w:val="22"/>
          <w:szCs w:val="22"/>
          <w:color w:val="auto"/>
        </w:rPr>
      </w:pPr>
    </w:p>
    <w:p>
      <w:pPr>
        <w:jc w:val="both"/>
        <w:ind w:left="840" w:right="199" w:firstLine="1288"/>
        <w:spacing w:after="0" w:line="236" w:lineRule="auto"/>
        <w:tabs>
          <w:tab w:leader="none" w:pos="2940"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1" w:lineRule="exact"/>
        <w:rPr>
          <w:rFonts w:ascii="Times New Roman" w:cs="Times New Roman" w:eastAsia="Times New Roman" w:hAnsi="Times New Roman"/>
          <w:sz w:val="22"/>
          <w:szCs w:val="22"/>
          <w:color w:val="auto"/>
        </w:rPr>
      </w:pPr>
    </w:p>
    <w:p>
      <w:pPr>
        <w:jc w:val="both"/>
        <w:ind w:left="840" w:right="199" w:firstLine="1288"/>
        <w:spacing w:after="0" w:line="236" w:lineRule="auto"/>
        <w:tabs>
          <w:tab w:leader="none" w:pos="2959"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w:t>
      </w:r>
    </w:p>
    <w:p>
      <w:pPr>
        <w:spacing w:after="0" w:line="18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6" w:name="page27"/>
    <w:bookmarkEnd w:id="26"/>
    <w:p>
      <w:pPr>
        <w:jc w:val="both"/>
        <w:ind w:left="840" w:right="199"/>
        <w:spacing w:after="0"/>
        <w:rPr>
          <w:sz w:val="20"/>
          <w:szCs w:val="20"/>
          <w:color w:val="auto"/>
        </w:rPr>
      </w:pPr>
      <w:r>
        <w:rPr>
          <w:rFonts w:ascii="Times New Roman" w:cs="Times New Roman" w:eastAsia="Times New Roman" w:hAnsi="Times New Roman"/>
          <w:sz w:val="22"/>
          <w:szCs w:val="22"/>
          <w:color w:val="auto"/>
        </w:rPr>
        <w:t>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7" w:lineRule="exact"/>
        <w:rPr>
          <w:sz w:val="20"/>
          <w:szCs w:val="20"/>
          <w:color w:val="auto"/>
        </w:rPr>
      </w:pPr>
    </w:p>
    <w:p>
      <w:pPr>
        <w:jc w:val="both"/>
        <w:ind w:left="840" w:right="199" w:firstLine="1288"/>
        <w:spacing w:after="0" w:line="232" w:lineRule="auto"/>
        <w:tabs>
          <w:tab w:leader="none" w:pos="2893"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maintains a system of internal controls, including, but not limited to, disclosure controls and procedures, internal controls over accounting matters and financial reporting, and legal and regulatory compliance controls (collectively, “</w:t>
      </w:r>
      <w:r>
        <w:rPr>
          <w:rFonts w:ascii="Times New Roman" w:cs="Times New Roman" w:eastAsia="Times New Roman" w:hAnsi="Times New Roman"/>
          <w:sz w:val="22"/>
          <w:szCs w:val="22"/>
          <w:b w:val="1"/>
          <w:bCs w:val="1"/>
          <w:color w:val="auto"/>
        </w:rPr>
        <w:t>Internal Controls</w:t>
      </w:r>
      <w:r>
        <w:rPr>
          <w:rFonts w:ascii="Times New Roman" w:cs="Times New Roman" w:eastAsia="Times New Roman" w:hAnsi="Times New Roman"/>
          <w:sz w:val="22"/>
          <w:szCs w:val="22"/>
          <w:color w:val="auto"/>
        </w:rPr>
        <w:t>”) that comply with applicable securities laws and are sufficient to provide reasonable assurances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SEC Reports or as reported to the Audit Committee, the Company has not publicly disclosed (x) a significant deficiency, material weakness, change in Internal Controls or fraud involving management or other employees who have a significant role in Internal Controls, (y) any violation of, or failure to comply with, applicable securities laws, or (z) any matter which, if determined adversely, would have a Material Adverse Effect.</w:t>
      </w:r>
    </w:p>
    <w:p>
      <w:pPr>
        <w:spacing w:after="0" w:line="191" w:lineRule="exact"/>
        <w:rPr>
          <w:rFonts w:ascii="Times New Roman" w:cs="Times New Roman" w:eastAsia="Times New Roman" w:hAnsi="Times New Roman"/>
          <w:sz w:val="22"/>
          <w:szCs w:val="22"/>
          <w:color w:val="auto"/>
        </w:rPr>
      </w:pPr>
    </w:p>
    <w:p>
      <w:pPr>
        <w:jc w:val="both"/>
        <w:ind w:left="180" w:right="199" w:firstLine="1300"/>
        <w:spacing w:after="0" w:line="245" w:lineRule="auto"/>
        <w:tabs>
          <w:tab w:leader="none" w:pos="222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Undisclosed Liabilities</w:t>
      </w:r>
      <w:r>
        <w:rPr>
          <w:rFonts w:ascii="Times New Roman" w:cs="Times New Roman" w:eastAsia="Times New Roman" w:hAnsi="Times New Roman"/>
          <w:sz w:val="21"/>
          <w:szCs w:val="21"/>
          <w:color w:val="auto"/>
        </w:rPr>
        <w:t>. The Company has no liabilities or obligations (accrued, absolute, contingent or otherwise), other than liabilities or obligations (i) reflected on the most recent balance sheet of the Company included in the SEC Reports, (ii) incurred in the ordinary course of business since the date of the most recent balance sheet of the Company included in the SEC Reports, (iii) incurred in connection with this Agreement, (iv) incurred pursuant to contracts binding on the Company (other than those resulting from a breach thereof) or</w:t>
      </w:r>
    </w:p>
    <w:p>
      <w:pPr>
        <w:spacing w:after="0" w:line="2" w:lineRule="exact"/>
        <w:rPr>
          <w:rFonts w:ascii="Times New Roman" w:cs="Times New Roman" w:eastAsia="Times New Roman" w:hAnsi="Times New Roman"/>
          <w:sz w:val="21"/>
          <w:szCs w:val="21"/>
          <w:color w:val="auto"/>
        </w:rPr>
      </w:pPr>
    </w:p>
    <w:p>
      <w:pPr>
        <w:ind w:left="180" w:right="199" w:firstLine="4"/>
        <w:spacing w:after="0" w:line="237" w:lineRule="auto"/>
        <w:tabs>
          <w:tab w:leader="none" w:pos="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would not, individually or in the aggregate, reasonably be expected to result in a Material Adverse Effect or prevent the consummation of the transactions contemplated hereby.</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87"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Changes</w:t>
      </w:r>
      <w:r>
        <w:rPr>
          <w:rFonts w:ascii="Times New Roman" w:cs="Times New Roman" w:eastAsia="Times New Roman" w:hAnsi="Times New Roman"/>
          <w:sz w:val="21"/>
          <w:szCs w:val="21"/>
          <w:color w:val="auto"/>
        </w:rPr>
        <w:t>. Since the date of the most recent balance sheet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the Equity Incentive Plans. The Company does not have pending before the SEC any request for confidential treatment of information. Except for the transactions contemplated by this Agreement, including the issuance of the Shares, and any other transactions or Share issuances contemplated as of the Closing Date, no event, liability, fact, circumstance, occurrence or development has occurred or exists with respect to the Company or its Significant Subsidiaries (as such term is defined in Rule 1-02(w) of Regulation S-X) or their respective</w:t>
      </w:r>
    </w:p>
    <w:p>
      <w:pPr>
        <w:spacing w:after="0" w:line="17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7" w:name="page28"/>
    <w:bookmarkEnd w:id="27"/>
    <w:p>
      <w:pPr>
        <w:jc w:val="both"/>
        <w:ind w:left="180" w:right="199"/>
        <w:spacing w:after="0"/>
        <w:rPr>
          <w:sz w:val="20"/>
          <w:szCs w:val="20"/>
          <w:color w:val="auto"/>
        </w:rPr>
      </w:pPr>
      <w:r>
        <w:rPr>
          <w:rFonts w:ascii="Times New Roman" w:cs="Times New Roman" w:eastAsia="Times New Roman" w:hAnsi="Times New Roman"/>
          <w:sz w:val="22"/>
          <w:szCs w:val="22"/>
          <w:color w:val="auto"/>
        </w:rPr>
        <w:t>businesses, prospects, properties, operations, assets or financial condition that would be required to be disclosed by the Company under applicable securities laws at the time this representation is made or deemed made that has not been publicly disclosed at least one (1) Business Day prior to the date that this representation is made.</w:t>
      </w:r>
    </w:p>
    <w:p>
      <w:pPr>
        <w:spacing w:after="0" w:line="177" w:lineRule="exact"/>
        <w:rPr>
          <w:sz w:val="20"/>
          <w:szCs w:val="20"/>
          <w:color w:val="auto"/>
        </w:rPr>
      </w:pPr>
    </w:p>
    <w:p>
      <w:pPr>
        <w:jc w:val="both"/>
        <w:ind w:left="180" w:right="199" w:firstLine="1300"/>
        <w:spacing w:after="0" w:line="235" w:lineRule="auto"/>
        <w:tabs>
          <w:tab w:leader="none" w:pos="22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Except as disclosed in the SEC Reports, neither the Company nor any of its directors or officers is engaged in any litigation, administrative, mediation or arbitration proceedings or other proceedings or hearings before any Governmental Entity and is not the subject of any investigation, inquiry or enforcement proceedings by any Governmental Entity that could be reasonably expected to have a Material Adverse Effect. No such proceeding, investigation or inquiry is pending or, to the Company’s actual knowledge, threatened against the Company, and, to the Company’s actual knowledge, there are no circumstances likely to give rise to any such proceedings.</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46" w:lineRule="auto"/>
        <w:tabs>
          <w:tab w:leader="none" w:pos="220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Matters</w:t>
      </w:r>
      <w:r>
        <w:rPr>
          <w:rFonts w:ascii="Times New Roman" w:cs="Times New Roman" w:eastAsia="Times New Roman" w:hAnsi="Times New Roman"/>
          <w:sz w:val="21"/>
          <w:szCs w:val="21"/>
          <w:color w:val="auto"/>
        </w:rPr>
        <w:t>. To the Company’s actual knowledge,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0" w:lineRule="exact"/>
        <w:rPr>
          <w:rFonts w:ascii="Times New Roman" w:cs="Times New Roman" w:eastAsia="Times New Roman" w:hAnsi="Times New Roman"/>
          <w:sz w:val="21"/>
          <w:szCs w:val="21"/>
          <w:color w:val="auto"/>
        </w:rPr>
      </w:pPr>
    </w:p>
    <w:p>
      <w:pPr>
        <w:jc w:val="both"/>
        <w:ind w:left="180" w:right="199" w:firstLine="1300"/>
        <w:spacing w:after="0" w:line="234" w:lineRule="auto"/>
        <w:tabs>
          <w:tab w:leader="none" w:pos="222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except in each case as could not have or reasonably be expected to result in a Material Adverse Effect.</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2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Permits</w:t>
      </w:r>
      <w:r>
        <w:rPr>
          <w:rFonts w:ascii="Times New Roman" w:cs="Times New Roman" w:eastAsia="Times New Roman" w:hAnsi="Times New Roman"/>
          <w:sz w:val="22"/>
          <w:szCs w:val="22"/>
          <w:color w:val="auto"/>
        </w:rPr>
        <w:t>. The Company possesses all certificates, authorizations and permits issued by the appropriate federal, state, local or foreign regulatory authorities necessary to conduct its business, except where the failure to possess such permits could not reasonably be expected to result in a Material Adverse Effect.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9" w:lineRule="auto"/>
        <w:tabs>
          <w:tab w:leader="none" w:pos="228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Title to Assets</w:t>
      </w:r>
      <w:r>
        <w:rPr>
          <w:rFonts w:ascii="Times New Roman" w:cs="Times New Roman" w:eastAsia="Times New Roman" w:hAnsi="Times New Roman"/>
          <w:sz w:val="21"/>
          <w:szCs w:val="21"/>
          <w:color w:val="auto"/>
        </w:rPr>
        <w:t>. The Company and its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w:t>
      </w:r>
    </w:p>
    <w:p>
      <w:pPr>
        <w:spacing w:after="0" w:line="1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8" w:name="page29"/>
    <w:bookmarkEnd w:id="28"/>
    <w:p>
      <w:pPr>
        <w:jc w:val="both"/>
        <w:ind w:left="180" w:right="199"/>
        <w:spacing w:after="0" w:line="238" w:lineRule="auto"/>
        <w:rPr>
          <w:sz w:val="20"/>
          <w:szCs w:val="20"/>
          <w:color w:val="auto"/>
        </w:rPr>
      </w:pPr>
      <w:r>
        <w:rPr>
          <w:rFonts w:ascii="Times New Roman" w:cs="Times New Roman" w:eastAsia="Times New Roman" w:hAnsi="Times New Roman"/>
          <w:sz w:val="22"/>
          <w:szCs w:val="22"/>
          <w:color w:val="auto"/>
        </w:rPr>
        <w:t>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sz w:val="20"/>
          <w:szCs w:val="20"/>
          <w:color w:val="auto"/>
        </w:rPr>
      </w:pPr>
    </w:p>
    <w:p>
      <w:pPr>
        <w:jc w:val="both"/>
        <w:ind w:left="180" w:right="199" w:firstLine="1300"/>
        <w:spacing w:after="0" w:line="235" w:lineRule="auto"/>
        <w:tabs>
          <w:tab w:leader="none" w:pos="22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and Maintenance Requirements</w:t>
      </w:r>
      <w:r>
        <w:rPr>
          <w:rFonts w:ascii="Times New Roman" w:cs="Times New Roman" w:eastAsia="Times New Roman" w:hAnsi="Times New Roman"/>
          <w:sz w:val="22"/>
          <w:szCs w:val="22"/>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Except as disclosed in the SEC Reports, the Company has not, in the 12 months preceding the date hereof, received notice from Nasdaq to the effect that the Company is not in compliance with the listing or maintenance requirements of Nasdaq.</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46" w:lineRule="auto"/>
        <w:tabs>
          <w:tab w:leader="none" w:pos="218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(i) The Company has, or has rights to use, all patents, patent applications, trademarks, trademark applications, service marks, trade names, trade secrets, inventions, copyrights, licenses and other intellectual property rights and similar rights as necessary or material for use in connection with its business and which the failure to so have could reasonably be expected to have a Material Adverse Effect (collectively, the “</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left="180" w:right="199" w:firstLine="4"/>
        <w:spacing w:after="0" w:line="230" w:lineRule="auto"/>
        <w:tabs>
          <w:tab w:leader="none" w:pos="53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a notice (written or otherwise) that any of the Intellectual Property Rights violates or infringes upon the intellectual property rights of any other Person; and</w:t>
      </w:r>
    </w:p>
    <w:p>
      <w:pPr>
        <w:spacing w:after="0" w:line="1" w:lineRule="exact"/>
        <w:rPr>
          <w:rFonts w:ascii="Times New Roman" w:cs="Times New Roman" w:eastAsia="Times New Roman" w:hAnsi="Times New Roman"/>
          <w:sz w:val="22"/>
          <w:szCs w:val="22"/>
          <w:color w:val="auto"/>
        </w:rPr>
      </w:pPr>
    </w:p>
    <w:p>
      <w:pPr>
        <w:jc w:val="both"/>
        <w:ind w:left="180" w:right="199" w:firstLine="4"/>
        <w:spacing w:after="0" w:line="234" w:lineRule="auto"/>
        <w:tabs>
          <w:tab w:leader="none" w:pos="59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Rights are enforceable by the Company, and there is no existing infringement by any other Person of any of the Intellectual Property Rights, except where the failure to be so enforceable or for such infringements as would not, individually or in the aggregate, reasonably be expected to have a Material Adverse Effect.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43" w:lineRule="auto"/>
        <w:tabs>
          <w:tab w:leader="none" w:pos="226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The Company and its Subsidiaries (i) are in compliance with all applicable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1"/>
          <w:szCs w:val="21"/>
          <w:b w:val="1"/>
          <w:bCs w:val="1"/>
          <w:color w:val="auto"/>
        </w:rPr>
        <w:t>Hazardous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Materials</w:t>
      </w:r>
      <w:r>
        <w:rPr>
          <w:rFonts w:ascii="Times New Roman" w:cs="Times New Roman" w:eastAsia="Times New Roman" w:hAnsi="Times New Roman"/>
          <w:sz w:val="21"/>
          <w:szCs w:val="21"/>
          <w:color w:val="auto"/>
        </w:rPr>
        <w:t>”) into the environment, or otherwise relating to the manufacture, processing,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distribution, use, treatment, storage, disposal, transport or handling of Hazardous Materials, as well as all authorizations, codes, decrees, demands, or demand letters, injunctions, judgments, licenses, notices or notice letters, orders, permits or plans issued, entered, promulgated or approved thereunder (“</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(ii) have received all permits licenses or other approvals required of them under applicable Environmental Laws to conduct their respective businesses; and</w:t>
      </w:r>
    </w:p>
    <w:p>
      <w:pPr>
        <w:spacing w:after="0" w:line="7" w:lineRule="exact"/>
        <w:rPr>
          <w:rFonts w:ascii="Times New Roman" w:cs="Times New Roman" w:eastAsia="Times New Roman" w:hAnsi="Times New Roman"/>
          <w:sz w:val="21"/>
          <w:szCs w:val="21"/>
          <w:color w:val="auto"/>
        </w:rPr>
      </w:pPr>
    </w:p>
    <w:p>
      <w:pPr>
        <w:jc w:val="both"/>
        <w:ind w:left="180" w:right="199" w:firstLine="4"/>
        <w:spacing w:after="0" w:line="235" w:lineRule="auto"/>
        <w:tabs>
          <w:tab w:leader="none" w:pos="56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with Officers, Directors and Employees</w:t>
      </w:r>
      <w:r>
        <w:rPr>
          <w:rFonts w:ascii="Times New Roman" w:cs="Times New Roman" w:eastAsia="Times New Roman" w:hAnsi="Times New Roman"/>
          <w:sz w:val="22"/>
          <w:szCs w:val="22"/>
          <w:color w:val="auto"/>
        </w:rPr>
        <w:t>. Except as disclosed in the SEC Reports, since January 1, 2024, (i) none of the officers or directors of the Company or any Subsidiary has been and (ii) to the Company’s actual knowledge, none of the employees of the Company or any Subsidiary is presently, a party to any transaction with the Company or any Subsidiary (other than for services as employees, officers and directors), including any contract,</w:t>
      </w:r>
    </w:p>
    <w:p>
      <w:pPr>
        <w:spacing w:after="0" w:line="1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9" w:name="page30"/>
    <w:bookmarkEnd w:id="29"/>
    <w:p>
      <w:pPr>
        <w:jc w:val="both"/>
        <w:ind w:left="180" w:right="199"/>
        <w:spacing w:after="0" w:line="247" w:lineRule="auto"/>
        <w:rPr>
          <w:sz w:val="20"/>
          <w:szCs w:val="20"/>
          <w:color w:val="auto"/>
        </w:rPr>
      </w:pPr>
      <w:r>
        <w:rPr>
          <w:rFonts w:ascii="Times New Roman" w:cs="Times New Roman" w:eastAsia="Times New Roman" w:hAnsi="Times New Roman"/>
          <w:sz w:val="21"/>
          <w:szCs w:val="21"/>
          <w:color w:val="auto"/>
        </w:rPr>
        <w:t>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Company’s actual knowledge,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the Equity Incentive Plans.</w:t>
      </w:r>
    </w:p>
    <w:p>
      <w:pPr>
        <w:spacing w:after="0" w:line="172" w:lineRule="exact"/>
        <w:rPr>
          <w:sz w:val="20"/>
          <w:szCs w:val="20"/>
          <w:color w:val="auto"/>
        </w:rPr>
      </w:pPr>
    </w:p>
    <w:p>
      <w:pPr>
        <w:jc w:val="both"/>
        <w:ind w:left="180" w:right="199" w:firstLine="1300"/>
        <w:spacing w:after="0" w:line="235" w:lineRule="auto"/>
        <w:tabs>
          <w:tab w:leader="none" w:pos="220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 No General Solicitation</w:t>
      </w:r>
      <w:r>
        <w:rPr>
          <w:rFonts w:ascii="Times New Roman" w:cs="Times New Roman" w:eastAsia="Times New Roman" w:hAnsi="Times New Roman"/>
          <w:sz w:val="22"/>
          <w:szCs w:val="22"/>
          <w:color w:val="auto"/>
        </w:rPr>
        <w:t>. Assuming the accuracy of the Investor’s representations and warranties set forth in Section 3.02, no registration under the Securities Act is required for the offer and sale of the Shares by the Company to the Investor as contemplated by this Agreement. Neither the Company nor any Person acting on behalf of the Company has offered or sold any of the Shares offered to the Investor or any shares of Preferred Stock offered to any of the other Investors by any form of general solicitation or general advertising. The Company has offered the Shares for sale only to the Investor and certain other “accredited investors” within the meaning of Rule 501 under the Securities Act.</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0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 an “investment company” subject to registration under the Investment Company Act of 1940, as amended.</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27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Integrated Offering</w:t>
      </w:r>
      <w:r>
        <w:rPr>
          <w:rFonts w:ascii="Times New Roman" w:cs="Times New Roman" w:eastAsia="Times New Roman" w:hAnsi="Times New Roman"/>
          <w:sz w:val="22"/>
          <w:szCs w:val="22"/>
          <w:color w:val="auto"/>
        </w:rPr>
        <w:t>. Assuming the accuracy of the Investor’s representations and warranties set forth in Section 3.02,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Nasdaq.</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8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Based on the consolidated financial condition of the Company as of the Closing Date, after giving effect to the receipt by the Company of the proceeds from the sale of the other shares of Preferred Stock of the Company to other Investors as of the Closing Date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 w:name="page31"/>
    <w:bookmarkEnd w:id="30"/>
    <w:p>
      <w:pPr>
        <w:jc w:val="both"/>
        <w:ind w:left="180" w:right="199" w:firstLine="1300"/>
        <w:spacing w:after="0" w:line="234" w:lineRule="auto"/>
        <w:tabs>
          <w:tab w:leader="none" w:pos="22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The Company has (i) paid all material federal, state, local and foreign taxes required to be paid through the date hereof, except (A) any such taxes being contested in good faith and for which adequate reserves have been established in accordance with applicable accounting requirements or (B) if a failure to pay such taxes would not reasonably be expected to have a Material Adverse Effect, and (ii) filed all material tax returns required to be filed through the date hereof, in each case except for (x) those returns for which a request for extension has been filed or (y) any failure to file that would not reasonably be expected to have a Material Adverse Effect; and there is no tax deficiency that has been asserted against the Company, except where such deficiencies, individually or in the aggregate, would not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23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are insured by insurers of recognized financial responsibility against such losses and risks and in such amounts as the Company reasonably believes to be prudent and customary in the businesses in which the Company and the Subsidiaries are engaged, including, but not limited to, directors and officers insurance coverage. The Company has no reason to believe that it will not be able to renew the Company’s and its Subsidiaries’ existing insurance coverage as and when such coverage expires or to obtain similar coverage from similar insurers as may be necessary to continue its business at a cost that would not materially and adversely affect the condition, financial or otherwise, business or operations of the Company, taken as a whole.</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Disqualification</w:t>
      </w:r>
      <w:r>
        <w:rPr>
          <w:rFonts w:ascii="Times New Roman" w:cs="Times New Roman" w:eastAsia="Times New Roman" w:hAnsi="Times New Roman"/>
          <w:sz w:val="22"/>
          <w:szCs w:val="22"/>
          <w:color w:val="auto"/>
        </w:rPr>
        <w:t>. None of the Company, any of its predecessors, any affiliated issuer, any director or executive officer, or any officer of the Company participating in the transactions hereunder is a Person of the type described in Rule 506(d) of Regulation D under the Securities Act that would disqualify the Company from engaging in a transaction pursuant to Rule 506 of Regulation D under the Securities Act.</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18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w:t>
      </w:r>
      <w:r>
        <w:rPr>
          <w:rFonts w:ascii="Times New Roman" w:cs="Times New Roman" w:eastAsia="Times New Roman" w:hAnsi="Times New Roman"/>
          <w:sz w:val="22"/>
          <w:szCs w:val="22"/>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Foreign Corrupt Practices Act of 1977, as amended.</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20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of Foreign Assets Control</w:t>
      </w:r>
      <w:r>
        <w:rPr>
          <w:rFonts w:ascii="Times New Roman" w:cs="Times New Roman" w:eastAsia="Times New Roman" w:hAnsi="Times New Roman"/>
          <w:sz w:val="22"/>
          <w:szCs w:val="22"/>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180" w:lineRule="exact"/>
        <w:rPr>
          <w:sz w:val="20"/>
          <w:szCs w:val="20"/>
          <w:color w:val="auto"/>
        </w:rPr>
      </w:pPr>
    </w:p>
    <w:p>
      <w:pPr>
        <w:jc w:val="both"/>
        <w:ind w:left="180" w:right="199" w:firstLine="1300"/>
        <w:spacing w:after="0" w:line="239" w:lineRule="auto"/>
        <w:tabs>
          <w:tab w:leader="none" w:pos="22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Real Property Holding Corporation</w:t>
      </w:r>
      <w:r>
        <w:rPr>
          <w:rFonts w:ascii="Times New Roman" w:cs="Times New Roman" w:eastAsia="Times New Roman" w:hAnsi="Times New Roman"/>
          <w:sz w:val="22"/>
          <w:szCs w:val="22"/>
          <w:color w:val="auto"/>
        </w:rPr>
        <w:t>. The Company is not and has never been a U.S. real property holding corporation within the meaning of Section 897 of the Internal Revenue Code of 1986, as amended, and the Company shall so certify upon Investor’s request.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 w:name="page32"/>
    <w:bookmarkEnd w:id="31"/>
    <w:p>
      <w:pPr>
        <w:jc w:val="both"/>
        <w:ind w:left="180" w:right="199" w:firstLine="1300"/>
        <w:spacing w:after="0" w:line="234" w:lineRule="auto"/>
        <w:tabs>
          <w:tab w:leader="none" w:pos="22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 Holding Company Act</w:t>
      </w:r>
      <w:r>
        <w:rPr>
          <w:rFonts w:ascii="Times New Roman" w:cs="Times New Roman" w:eastAsia="Times New Roman" w:hAnsi="Times New Roman"/>
          <w:sz w:val="22"/>
          <w:szCs w:val="22"/>
          <w:color w:val="auto"/>
        </w:rPr>
        <w:t>. Neither the Company nor any of its Affiliates is subject to the Bank Holding Company Act of 1956, as amended (“</w:t>
      </w:r>
      <w:r>
        <w:rPr>
          <w:rFonts w:ascii="Times New Roman" w:cs="Times New Roman" w:eastAsia="Times New Roman" w:hAnsi="Times New Roman"/>
          <w:sz w:val="22"/>
          <w:szCs w:val="22"/>
          <w:b w:val="1"/>
          <w:bCs w:val="1"/>
          <w:color w:val="auto"/>
        </w:rPr>
        <w:t>BHCA</w:t>
      </w:r>
      <w:r>
        <w:rPr>
          <w:rFonts w:ascii="Times New Roman" w:cs="Times New Roman" w:eastAsia="Times New Roman" w:hAnsi="Times New Roman"/>
          <w:sz w:val="22"/>
          <w:szCs w:val="22"/>
          <w:color w:val="auto"/>
        </w:rPr>
        <w:t>”) and to regulation by the Board of Governors of the Federal Reserve System (“</w:t>
      </w:r>
      <w:r>
        <w:rPr>
          <w:rFonts w:ascii="Times New Roman" w:cs="Times New Roman" w:eastAsia="Times New Roman" w:hAnsi="Times New Roman"/>
          <w:sz w:val="22"/>
          <w:szCs w:val="22"/>
          <w:b w:val="1"/>
          <w:bCs w:val="1"/>
          <w:color w:val="auto"/>
        </w:rPr>
        <w:t>Federal Reserve</w:t>
      </w:r>
      <w:r>
        <w:rPr>
          <w:rFonts w:ascii="Times New Roman" w:cs="Times New Roman" w:eastAsia="Times New Roman" w:hAnsi="Times New Roman"/>
          <w:sz w:val="22"/>
          <w:szCs w:val="22"/>
          <w:color w:val="auto"/>
        </w:rPr>
        <w:t>”). Neither the Company nor any of its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Affiliates exercises a controlling influence over the management or policies of a bank or any entity that is subject to the BHCA and to regulation by the Federal Reserve.</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48" w:lineRule="auto"/>
        <w:tabs>
          <w:tab w:leader="none" w:pos="224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Money Laundering</w:t>
      </w:r>
      <w:r>
        <w:rPr>
          <w:rFonts w:ascii="Times New Roman" w:cs="Times New Roman" w:eastAsia="Times New Roman" w:hAnsi="Times New Roman"/>
          <w:sz w:val="21"/>
          <w:szCs w:val="21"/>
          <w:color w:val="auto"/>
        </w:rPr>
        <w:t>. The operations of the Company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21"/>
          <w:szCs w:val="21"/>
          <w:b w:val="1"/>
          <w:bCs w:val="1"/>
          <w:color w:val="auto"/>
        </w:rPr>
        <w:t>Money Laundering Laws</w:t>
      </w:r>
      <w:r>
        <w:rPr>
          <w:rFonts w:ascii="Times New Roman" w:cs="Times New Roman" w:eastAsia="Times New Roman" w:hAnsi="Times New Roman"/>
          <w:sz w:val="21"/>
          <w:szCs w:val="21"/>
          <w:color w:val="auto"/>
        </w:rPr>
        <w:t>”), and no Action or Proceeding by or before any court or governmental agency, authority or body or any arbitrator involving the Company with respect to the Money Laundering Laws is pending or, to the knowledge of the Company, threatened.</w:t>
      </w:r>
    </w:p>
    <w:p>
      <w:pPr>
        <w:spacing w:after="0" w:line="170" w:lineRule="exact"/>
        <w:rPr>
          <w:rFonts w:ascii="Times New Roman" w:cs="Times New Roman" w:eastAsia="Times New Roman" w:hAnsi="Times New Roman"/>
          <w:sz w:val="21"/>
          <w:szCs w:val="21"/>
          <w:color w:val="auto"/>
        </w:rPr>
      </w:pPr>
    </w:p>
    <w:p>
      <w:pPr>
        <w:jc w:val="both"/>
        <w:ind w:left="180" w:right="199" w:firstLine="1300"/>
        <w:spacing w:after="0" w:line="246" w:lineRule="auto"/>
        <w:tabs>
          <w:tab w:leader="none" w:pos="229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The representations and warranties of the Company contained in this Agreement, and the certificate(s) furnished or to be furnished to the Investor at the Closing, when taken as a whole, do not contain any untrue statement of a material fact or omit to state a material fact necessary in order to make the statements contained herein or therein not misleading in light of the circumstances under which they were made. The Company acknowledges and agrees that the representations contained in section 3.02 shall not modify, amend or affect the Investor’s right to rely on the Company’s representations and warranties contained in this Section 3.01 or elsewhere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Representations and Warranties of the Investor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The Investor hereby represents and warrants as of the date hereof and as of the Closing Date to the Company as follows (unless as of a specific date therein, in which case they shall be accurate as of such date):</w:t>
      </w:r>
    </w:p>
    <w:p>
      <w:pPr>
        <w:spacing w:after="0" w:line="173" w:lineRule="exact"/>
        <w:rPr>
          <w:sz w:val="20"/>
          <w:szCs w:val="20"/>
          <w:color w:val="auto"/>
        </w:rPr>
      </w:pPr>
    </w:p>
    <w:p>
      <w:pPr>
        <w:jc w:val="both"/>
        <w:ind w:left="180" w:right="199" w:firstLine="1300"/>
        <w:spacing w:after="0" w:line="235" w:lineRule="auto"/>
        <w:tabs>
          <w:tab w:leader="none" w:pos="217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Investor has all requisite legal and corporate or other power and capacity and has taken all requisite corporate or other action to execute and deliver this Agreement, to purchase the Shares and to carry out and perform all of its obligations under this Agreement. This Agreement constitutes the legal, valid and binding obligation of the Investor, enforceable against the Investor in accordance with its terms, except (i) as limited by applicable bankruptcy, insolvency, reorganization or similar Laws relating to or affecting the enforcement of creditors’ rights generally and (ii) as limited by equitable principles generally.</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18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 Account</w:t>
      </w:r>
      <w:r>
        <w:rPr>
          <w:rFonts w:ascii="Times New Roman" w:cs="Times New Roman" w:eastAsia="Times New Roman" w:hAnsi="Times New Roman"/>
          <w:sz w:val="22"/>
          <w:szCs w:val="22"/>
          <w:color w:val="auto"/>
        </w:rPr>
        <w:t>. The Investor is acquiring the Shares for its own account, for investment purposes only, not for other Persons, and not with a present view to, or for, resale, distribution or fractionalization thereof, in whole or in part (within the meaning of the Securities</w:t>
      </w:r>
    </w:p>
    <w:p>
      <w:pPr>
        <w:spacing w:after="0" w:line="1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jc w:val="both"/>
        <w:ind w:left="180" w:right="199"/>
        <w:spacing w:after="0" w:line="248" w:lineRule="auto"/>
        <w:rPr>
          <w:sz w:val="20"/>
          <w:szCs w:val="20"/>
          <w:color w:val="auto"/>
        </w:rPr>
      </w:pPr>
      <w:r>
        <w:rPr>
          <w:rFonts w:ascii="Times New Roman" w:cs="Times New Roman" w:eastAsia="Times New Roman" w:hAnsi="Times New Roman"/>
          <w:sz w:val="21"/>
          <w:szCs w:val="21"/>
          <w:color w:val="auto"/>
        </w:rPr>
        <w:t>Act) in violation of the Securities Act. The Investor understands that its acquisition of the Shares has not been registered under the Securities Act or registered or qualified under any state securities Law in reliance on specific exemptions therefrom, which exemptions may depend upon, among other things, the bona fide nature of the Investor’s investment intent as expressed herein. The Investor will not, directly or indirectly, offer, sell, pledge, transfer or otherwise dispose of (or solicit any offers to buy, purchase or otherwise acquire or take a pledge of) the Shares except in compliance with the Securities Act and the rules and regulations promulgated thereunder.</w:t>
      </w:r>
    </w:p>
    <w:p>
      <w:pPr>
        <w:spacing w:after="0" w:line="171" w:lineRule="exact"/>
        <w:rPr>
          <w:sz w:val="20"/>
          <w:szCs w:val="20"/>
          <w:color w:val="auto"/>
        </w:rPr>
      </w:pPr>
    </w:p>
    <w:p>
      <w:pPr>
        <w:ind w:left="2180" w:hanging="700"/>
        <w:spacing w:after="0"/>
        <w:tabs>
          <w:tab w:leader="none" w:pos="21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Investor Status</w:t>
      </w:r>
      <w:r>
        <w:rPr>
          <w:rFonts w:ascii="Times New Roman" w:cs="Times New Roman" w:eastAsia="Times New Roman" w:hAnsi="Times New Roman"/>
          <w:sz w:val="21"/>
          <w:szCs w:val="21"/>
          <w:color w:val="auto"/>
        </w:rPr>
        <w:t>. The Investor is and, at the time the Investor was offered the</w:t>
      </w:r>
    </w:p>
    <w:p>
      <w:pPr>
        <w:spacing w:after="0" w:line="25" w:lineRule="exact"/>
        <w:rPr>
          <w:rFonts w:ascii="Times New Roman" w:cs="Times New Roman" w:eastAsia="Times New Roman" w:hAnsi="Times New Roman"/>
          <w:sz w:val="21"/>
          <w:szCs w:val="21"/>
          <w:color w:val="auto"/>
        </w:rPr>
      </w:pPr>
    </w:p>
    <w:p>
      <w:pPr>
        <w:jc w:val="both"/>
        <w:ind w:left="180" w:right="199"/>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Shares, was: (i) an “accredited investor” as defined in Rule 501(a) of the Securities Act or (ii) a “qualified institutional buyer” as defined in Rule 144A(a) under the Securities Act. The Investor is aware of the Company’s business affairs and financial condition and has had access to and has acquired sufficient information about the Company to reach an informed and knowledgeable decision to acquire the Shares. The Investor has such knowledge, sophistication, and experience in business and financial matters so as to be capable of evaluating the merits and risks of the prospective investment in, and to protect its own interests in connection with the purchase of, the Shares. The Investor acknowledges that it has had the opportunity to review the Company’s filings with the SEC, including the Company’s Annual Report on Form 10-K for the year ended December 31, 2025, filed on March 31, 2026 (the “</w:t>
      </w:r>
      <w:r>
        <w:rPr>
          <w:rFonts w:ascii="Times New Roman" w:cs="Times New Roman" w:eastAsia="Times New Roman" w:hAnsi="Times New Roman"/>
          <w:sz w:val="22"/>
          <w:szCs w:val="22"/>
          <w:b w:val="1"/>
          <w:bCs w:val="1"/>
          <w:color w:val="auto"/>
        </w:rPr>
        <w:t>2025 Form 10-K</w:t>
      </w:r>
      <w:r>
        <w:rPr>
          <w:rFonts w:ascii="Times New Roman" w:cs="Times New Roman" w:eastAsia="Times New Roman" w:hAnsi="Times New Roman"/>
          <w:sz w:val="22"/>
          <w:szCs w:val="22"/>
          <w:color w:val="auto"/>
        </w:rPr>
        <w:t>”) as well as the description of the Company’s securities included in the 2025 Form 10-K as Exhibit 4.3, and, further, that it has (A) been made aware that the Company intends to use any proceeds from the Offering for general corporate working capital purposes and that the Company will have broad discretion in respect of such use of proceeds, (B) reviewed the information related to the Offering provided by the Company to the Investor and has been afforded the opportunity to ask such questions as it has deemed necessary of, and to receive answers from, representatives of the Company concerning the terms and conditions of the Offering and the merits and risks of investing in the Shares and (C) been afforded the opportunity to obtain such additional information that the Company possesses or can acquire without unreasonable effort or expense that is necessary to make an informed investment decision with respect to the investment. Neither the Investor nor the Investor’s investment managers, if any, have been furnished any offering memorandum or similar disclosure document by the Company or any of its Affiliates, associates, or agents other than the Transaction Documents, and the agreements referenced therein. The Investor understands that no United States federal or state agency or any other Governmental Entity has passed upon or made any recommendation or endorsement of the Shares.</w:t>
      </w:r>
    </w:p>
    <w:p>
      <w:pPr>
        <w:spacing w:after="0" w:line="179" w:lineRule="exact"/>
        <w:rPr>
          <w:rFonts w:ascii="Times New Roman" w:cs="Times New Roman" w:eastAsia="Times New Roman" w:hAnsi="Times New Roman"/>
          <w:sz w:val="21"/>
          <w:szCs w:val="21"/>
          <w:color w:val="auto"/>
        </w:rPr>
      </w:pPr>
    </w:p>
    <w:p>
      <w:pPr>
        <w:jc w:val="both"/>
        <w:ind w:left="180" w:right="199" w:firstLine="1300"/>
        <w:spacing w:after="0" w:line="235" w:lineRule="auto"/>
        <w:tabs>
          <w:tab w:leader="none" w:pos="218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The Investor represents and acknowledges that the issuance of the Shares arises from the private conversion of the Senior Note, and that neither the original acquisition of the Senior Note nor the conversion thereof was effected by means of any form of general solicitation or general advertising within the meaning of Regulation D under the Securities Act. The Investor has not taken and will not take any action that would cause the issuance of the Shares to fail to qualify for an exemption from registration under Section 4(a)(2) of the Securities Act or Rule 506(b) of Regulation D.</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46" w:lineRule="auto"/>
        <w:tabs>
          <w:tab w:leader="none" w:pos="221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Investor acknowledges that the Shares are “restricted securities” within the meaning of Rule 144 under the Securities Act and may not be sold, transferred or otherwise disposed of except pursuant to an effective registration statement or</w:t>
      </w:r>
    </w:p>
    <w:p>
      <w:pPr>
        <w:spacing w:after="0" w:line="1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ind w:left="180" w:right="199"/>
        <w:spacing w:after="0" w:line="259" w:lineRule="auto"/>
        <w:rPr>
          <w:sz w:val="20"/>
          <w:szCs w:val="20"/>
          <w:color w:val="auto"/>
        </w:rPr>
      </w:pPr>
      <w:r>
        <w:rPr>
          <w:rFonts w:ascii="Times New Roman" w:cs="Times New Roman" w:eastAsia="Times New Roman" w:hAnsi="Times New Roman"/>
          <w:sz w:val="22"/>
          <w:szCs w:val="22"/>
          <w:color w:val="auto"/>
        </w:rPr>
        <w:t>an available exemption from registration, and then only in compliance with applicable federal and state securities laws.</w:t>
      </w:r>
    </w:p>
    <w:p>
      <w:pPr>
        <w:spacing w:after="0" w:line="157" w:lineRule="exact"/>
        <w:rPr>
          <w:sz w:val="20"/>
          <w:szCs w:val="20"/>
          <w:color w:val="auto"/>
        </w:rPr>
      </w:pPr>
    </w:p>
    <w:p>
      <w:pPr>
        <w:ind w:left="180" w:right="199" w:firstLine="1300"/>
        <w:spacing w:after="0" w:line="258" w:lineRule="auto"/>
        <w:tabs>
          <w:tab w:leader="none" w:pos="220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The Investor understands that the Shares, including on the books of the Company’s transfer agent, may bear one or both of the following legends:</w:t>
      </w:r>
    </w:p>
    <w:p>
      <w:pPr>
        <w:spacing w:after="0" w:line="158" w:lineRule="exact"/>
        <w:rPr>
          <w:rFonts w:ascii="Times New Roman" w:cs="Times New Roman" w:eastAsia="Times New Roman" w:hAnsi="Times New Roman"/>
          <w:sz w:val="22"/>
          <w:szCs w:val="22"/>
          <w:color w:val="auto"/>
        </w:rPr>
      </w:pPr>
    </w:p>
    <w:p>
      <w:pPr>
        <w:jc w:val="both"/>
        <w:ind w:left="840" w:right="199" w:firstLine="1288"/>
        <w:spacing w:after="0" w:line="234" w:lineRule="auto"/>
        <w:tabs>
          <w:tab w:leader="none" w:pos="285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legend substantially similar to: “THE SHARES REPRESENTED BY THIS CERTIFICATE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88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legend required by the securities laws of any state to the extent such laws are applicable to the Shares represented by so legended.</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8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Underwriter Status</w:t>
      </w:r>
      <w:r>
        <w:rPr>
          <w:rFonts w:ascii="Times New Roman" w:cs="Times New Roman" w:eastAsia="Times New Roman" w:hAnsi="Times New Roman"/>
          <w:sz w:val="22"/>
          <w:szCs w:val="22"/>
          <w:color w:val="auto"/>
        </w:rPr>
        <w:t>. The Investor acknowledges that, depending on the facts and circumstances at the time of any resale or distribution of the Shares, including any resale pursuant to a resale registration statement, the Investor may be deemed to be an “underwriter” within the meaning of Section 2(a)(11) of the Securities Act. The Investor further acknowledges that no representation has been made by the Company that any resale of the Shares will not result in the Investor being deemed an underwriter.</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51" w:lineRule="auto"/>
        <w:tabs>
          <w:tab w:leader="none" w:pos="22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Price</w:t>
      </w:r>
      <w:r>
        <w:rPr>
          <w:rFonts w:ascii="Times New Roman" w:cs="Times New Roman" w:eastAsia="Times New Roman" w:hAnsi="Times New Roman"/>
          <w:sz w:val="21"/>
          <w:szCs w:val="21"/>
          <w:color w:val="auto"/>
        </w:rPr>
        <w:t>. The Investor acknowledges and agrees that the Shares are being issued at a price per share that is not less than the “Minimum Price” within the meaning of Nasdaq Rule 5635(d), determined in accordance with applicable Nasdaq rules, and that the Investor has not relied on the Company to determine or opine on the applicability of Nasdaq Rule 5635(d) or whether stockholder approval is required in connection with the issuance of the Shares.</w:t>
      </w:r>
    </w:p>
    <w:p>
      <w:pPr>
        <w:spacing w:after="0" w:line="168"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20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xml:space="preserve"> The Investor acknowledges that Nasdaq Rule 5635(b) may require stockholder approval if a transaction results in a change of control of the Company, including where a single investor or a group of investors acting together acquires 20% or more of the Company’s outstanding Common Stock and becomes the largest stockholder, or otherwise obtains the ability to control or meaningfully influence management or policies of the Company. The Investor represents and warrants that, immediately following the issuance of Preferred Stock in the Offering, the Investor (together with any other Person whose beneficial ownership would be aggregated with the Investor’s pursuant to Section 13(d) or Section 16 of the Exchange Act and the rules and regulations promulgated thereunder, including any “group” of which the Investor is a member) will not beneficially own or have voting power over more than 19.99% of the outstanding shares of the Common Stock. The Investor further represents that, as of immediately following such issuance, the Investor will not, alone or together with any other Person, have any other indicia of control over the Company or the ability to meaningfully influence the management or policies of the Company, whether through ownership, voting power, contractual arrangements,</w:t>
      </w:r>
    </w:p>
    <w:p>
      <w:pPr>
        <w:spacing w:after="0" w:line="18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ind w:left="180" w:right="199"/>
        <w:spacing w:after="0" w:line="259" w:lineRule="auto"/>
        <w:rPr>
          <w:sz w:val="20"/>
          <w:szCs w:val="20"/>
          <w:color w:val="auto"/>
        </w:rPr>
      </w:pPr>
      <w:r>
        <w:rPr>
          <w:rFonts w:ascii="Times New Roman" w:cs="Times New Roman" w:eastAsia="Times New Roman" w:hAnsi="Times New Roman"/>
          <w:sz w:val="22"/>
          <w:szCs w:val="22"/>
          <w:color w:val="auto"/>
        </w:rPr>
        <w:t>understandings, or otherwise, in a manner that would reasonably be expected to constitute a change of control for purposes of Nasdaq Rule 5635(b) or applicable federal securities laws.</w:t>
      </w:r>
    </w:p>
    <w:p>
      <w:pPr>
        <w:spacing w:after="0" w:line="157" w:lineRule="exact"/>
        <w:rPr>
          <w:sz w:val="20"/>
          <w:szCs w:val="20"/>
          <w:color w:val="auto"/>
        </w:rPr>
      </w:pPr>
    </w:p>
    <w:p>
      <w:pPr>
        <w:jc w:val="both"/>
        <w:ind w:left="180" w:right="199" w:firstLine="1300"/>
        <w:spacing w:after="0" w:line="239" w:lineRule="auto"/>
        <w:tabs>
          <w:tab w:leader="none" w:pos="22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Group Status</w:t>
      </w:r>
      <w:r>
        <w:rPr>
          <w:rFonts w:ascii="Times New Roman" w:cs="Times New Roman" w:eastAsia="Times New Roman" w:hAnsi="Times New Roman"/>
          <w:sz w:val="22"/>
          <w:szCs w:val="22"/>
          <w:color w:val="auto"/>
        </w:rPr>
        <w:t>. The Investor represents that it is acquiring the Shares for investment purposes only and is not acting, and does not intend to act, as part of a “group” (within the meaning of Section 13(d) of the Exchange Act) with any other holder of the Company’s securities.</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29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Indirect Primary; No Conduit</w:t>
      </w:r>
      <w:r>
        <w:rPr>
          <w:rFonts w:ascii="Times New Roman" w:cs="Times New Roman" w:eastAsia="Times New Roman" w:hAnsi="Times New Roman"/>
          <w:sz w:val="22"/>
          <w:szCs w:val="22"/>
          <w:color w:val="auto"/>
        </w:rPr>
        <w:t>. The Investor represents and acknowledges that it is acquiring the Shares for its own account for investment purposes only and not with a view to, or for the purpose of, distributing such Shares on behalf of the Company. The Investor is not acquiring the Shares on behalf of, or as a conduit for, the Company and has no agreement, arrangement or understanding, directly or indirectly, with the Company or any other Person regarding the timing, manner or terms of any resale of the Shares that would cause any such resale to be deemed an offering by or on behalf of the Company. The Investor covenants that it will not take any action, including coordination with other investors or disproportionate resale activity, that would reasonably be expected to reasonably cause any resale of the Shares to be deemed an indirect primary offering or otherwise an offering by or on behalf of the Company.</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48" w:lineRule="auto"/>
        <w:tabs>
          <w:tab w:leader="none" w:pos="22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Non-Reliance</w:t>
      </w:r>
      <w:r>
        <w:rPr>
          <w:rFonts w:ascii="Times New Roman" w:cs="Times New Roman" w:eastAsia="Times New Roman" w:hAnsi="Times New Roman"/>
          <w:sz w:val="21"/>
          <w:szCs w:val="21"/>
          <w:color w:val="auto"/>
        </w:rPr>
        <w:t>. The Investor understands that nothing in this Agreement or any materials presented, or in any communications (whether written or oral) from the Company, to the Investor in connection with the purchase and sale of the Shares constitutes legal, tax or investment advice. The Investor has consulted such legal, tax and investment advisors and made such investigations as the Investor, in its sole discretion, has deemed necessary or appropriate in connection with its acquisition of the Shares. The Investor hereby acknowledges and agrees that it has independently evaluated the merits of its decision to purchase the Shares.</w:t>
      </w:r>
    </w:p>
    <w:p>
      <w:pPr>
        <w:spacing w:after="0" w:line="170" w:lineRule="exact"/>
        <w:rPr>
          <w:rFonts w:ascii="Times New Roman" w:cs="Times New Roman" w:eastAsia="Times New Roman" w:hAnsi="Times New Roman"/>
          <w:sz w:val="21"/>
          <w:szCs w:val="21"/>
          <w:color w:val="auto"/>
        </w:rPr>
      </w:pPr>
    </w:p>
    <w:p>
      <w:pPr>
        <w:jc w:val="both"/>
        <w:ind w:left="180" w:right="199" w:firstLine="1300"/>
        <w:spacing w:after="0" w:line="239" w:lineRule="auto"/>
        <w:tabs>
          <w:tab w:leader="none" w:pos="22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Disqualifying Events</w:t>
      </w:r>
      <w:r>
        <w:rPr>
          <w:rFonts w:ascii="Times New Roman" w:cs="Times New Roman" w:eastAsia="Times New Roman" w:hAnsi="Times New Roman"/>
          <w:sz w:val="22"/>
          <w:szCs w:val="22"/>
          <w:color w:val="auto"/>
        </w:rPr>
        <w:t>. The Investor represents that it is not a Person of the type described in Rule 506(d) of Regulation D under the Securities Act that would disqualify the Company from engaging in a transaction pursuant to Rule 506 of Regulation D under the Securities Act.</w:t>
      </w:r>
    </w:p>
    <w:p>
      <w:pPr>
        <w:spacing w:after="0" w:line="176" w:lineRule="exact"/>
        <w:rPr>
          <w:rFonts w:ascii="Times New Roman" w:cs="Times New Roman" w:eastAsia="Times New Roman" w:hAnsi="Times New Roman"/>
          <w:sz w:val="22"/>
          <w:szCs w:val="22"/>
          <w:color w:val="auto"/>
        </w:rPr>
      </w:pPr>
    </w:p>
    <w:p>
      <w:pPr>
        <w:ind w:left="2280" w:hanging="800"/>
        <w:spacing w:after="0"/>
        <w:tabs>
          <w:tab w:leader="none" w:pos="22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Speculative Nature of Investment;   Risk Factors.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INVESTOR</w:t>
      </w:r>
    </w:p>
    <w:p>
      <w:pPr>
        <w:spacing w:after="0" w:line="18" w:lineRule="exact"/>
        <w:rPr>
          <w:rFonts w:ascii="Times New Roman" w:cs="Times New Roman" w:eastAsia="Times New Roman" w:hAnsi="Times New Roman"/>
          <w:sz w:val="22"/>
          <w:szCs w:val="22"/>
          <w:color w:val="auto"/>
        </w:rPr>
      </w:pPr>
    </w:p>
    <w:p>
      <w:pPr>
        <w:jc w:val="both"/>
        <w:ind w:left="180" w:right="199"/>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color w:val="auto"/>
        </w:rPr>
        <w:t xml:space="preserve">UNDERSTANDS THAT AN INVESTMENT IN THE SHARES INVOLVES A HIGH DEGREE OF RISK. </w:t>
      </w:r>
      <w:r>
        <w:rPr>
          <w:rFonts w:ascii="Times New Roman" w:cs="Times New Roman" w:eastAsia="Times New Roman" w:hAnsi="Times New Roman"/>
          <w:sz w:val="21"/>
          <w:szCs w:val="21"/>
          <w:color w:val="auto"/>
        </w:rPr>
        <w:t>The Investor acknowledges that: (i) any projections, forecasts or estimates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have been provided to the Investor by the Company in connection with the Offering are purely speculative and cannot be relied upon to indicate actual results that may be obtained through this investment; any such projections, forecasts and estimates are based upon assumptions that Company management deemed to be reasonable at the time such projections, forecasts or estimates were made but which are subject to change and which are beyond the control of the Company or its management, (ii) the tax effects which may be expected by this investment are not susceptible to absolute prediction, and new developments and rules of the Internal Revenue Service, audit adjustment, court decisions or legislative changes may have an adverse effect on one or more of the tax consequences of this investment, (iii) the Investor has reviewed the risk factors and other information related to the Offering provided by the Company to the Investor and (iv) the Investor has been advised to consult with his own advisor regarding legal matters and tax consequences involving this investment. The Shares offered hereby are highly speculative and involve a high</w:t>
      </w:r>
    </w:p>
    <w:p>
      <w:pPr>
        <w:spacing w:after="0" w:line="1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ind w:left="180" w:right="199"/>
        <w:spacing w:after="0" w:line="259" w:lineRule="auto"/>
        <w:rPr>
          <w:sz w:val="20"/>
          <w:szCs w:val="20"/>
          <w:color w:val="auto"/>
        </w:rPr>
      </w:pPr>
      <w:r>
        <w:rPr>
          <w:rFonts w:ascii="Times New Roman" w:cs="Times New Roman" w:eastAsia="Times New Roman" w:hAnsi="Times New Roman"/>
          <w:sz w:val="22"/>
          <w:szCs w:val="22"/>
          <w:color w:val="auto"/>
        </w:rPr>
        <w:t>degree of risk and the Investor should only purchase these securities if the Investor can afford to lose their entire investment.</w:t>
      </w:r>
    </w:p>
    <w:p>
      <w:pPr>
        <w:spacing w:after="0" w:line="157" w:lineRule="exact"/>
        <w:rPr>
          <w:sz w:val="20"/>
          <w:szCs w:val="20"/>
          <w:color w:val="auto"/>
        </w:rPr>
      </w:pPr>
    </w:p>
    <w:p>
      <w:pPr>
        <w:jc w:val="both"/>
        <w:ind w:left="180" w:right="199" w:firstLine="1300"/>
        <w:spacing w:after="0" w:line="238" w:lineRule="auto"/>
        <w:tabs>
          <w:tab w:leader="none" w:pos="222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Money Laundering</w:t>
      </w:r>
      <w:r>
        <w:rPr>
          <w:rFonts w:ascii="Times New Roman" w:cs="Times New Roman" w:eastAsia="Times New Roman" w:hAnsi="Times New Roman"/>
          <w:sz w:val="22"/>
          <w:szCs w:val="22"/>
          <w:color w:val="auto"/>
        </w:rPr>
        <w:t>. The operations of the Investor are and have been conducted at all times in compliance with Money Laundering Laws, and no Action or Proceeding by or before any court or governmental agency, authority or body or any arbitrator involving the Investor with respect to the Money Laundering Laws is pending or, to the knowledge of the Investor, threatened.</w:t>
      </w:r>
    </w:p>
    <w:p>
      <w:pPr>
        <w:spacing w:after="0" w:line="177"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The Company acknowledges and agrees that the representations contained in Section 3.02 shall not modify, amend or affect the Investor’s right to rely on the Company’s representations and warranties contained in this Agreement.</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ARTICLE 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OTHER AGREEMENTS OF THE PARTIES</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4" w:lineRule="auto"/>
        <w:tabs>
          <w:tab w:leader="none" w:pos="21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may only be disposed of in compliance with state and federal securities laws. In connection with any transfer of Shares other than pursuant to an effective registration statement,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The Shares may not be sold or transferred by the Investor without the written consent of the Company, which shall not be unreasonably withheld. As a condition of such sale or transfer, any such transferee shall agree in writing to be bound by the terms of this Agreement and shall have the rights of the Investor under this Agreement.</w:t>
      </w:r>
    </w:p>
    <w:p>
      <w:pPr>
        <w:spacing w:after="0" w:line="179" w:lineRule="exact"/>
        <w:rPr>
          <w:rFonts w:ascii="Times New Roman" w:cs="Times New Roman" w:eastAsia="Times New Roman" w:hAnsi="Times New Roman"/>
          <w:sz w:val="22"/>
          <w:szCs w:val="22"/>
          <w:color w:val="auto"/>
        </w:rPr>
      </w:pPr>
    </w:p>
    <w:p>
      <w:pPr>
        <w:ind w:left="2200" w:hanging="720"/>
        <w:spacing w:after="0"/>
        <w:tabs>
          <w:tab w:leader="none" w:pos="22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Investor agrees to the imprinting, so long as is required by this </w:t>
      </w:r>
      <w:r>
        <w:rPr>
          <w:rFonts w:ascii="Times New Roman" w:cs="Times New Roman" w:eastAsia="Times New Roman" w:hAnsi="Times New Roman"/>
          <w:sz w:val="22"/>
          <w:szCs w:val="22"/>
          <w:u w:val="single" w:color="auto"/>
          <w:color w:val="auto"/>
        </w:rPr>
        <w:t>Section</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w:t>
      </w:r>
      <w:r>
        <w:rPr>
          <w:rFonts w:ascii="Times New Roman" w:cs="Times New Roman" w:eastAsia="Times New Roman" w:hAnsi="Times New Roman"/>
          <w:sz w:val="22"/>
          <w:szCs w:val="22"/>
          <w:color w:val="auto"/>
        </w:rPr>
        <w:t>, of a legend on any of the Shares in the following form:</w:t>
      </w:r>
    </w:p>
    <w:p>
      <w:pPr>
        <w:spacing w:after="0" w:line="182" w:lineRule="exact"/>
        <w:rPr>
          <w:sz w:val="20"/>
          <w:szCs w:val="20"/>
          <w:color w:val="auto"/>
        </w:rPr>
      </w:pPr>
    </w:p>
    <w:p>
      <w:pPr>
        <w:jc w:val="both"/>
        <w:ind w:left="180" w:right="199"/>
        <w:spacing w:after="0" w:line="246" w:lineRule="auto"/>
        <w:rPr>
          <w:sz w:val="20"/>
          <w:szCs w:val="20"/>
          <w:color w:val="auto"/>
        </w:rPr>
      </w:pPr>
      <w:r>
        <w:rPr>
          <w:rFonts w:ascii="Times New Roman" w:cs="Times New Roman" w:eastAsia="Times New Roman" w:hAnsi="Times New Roman"/>
          <w:sz w:val="21"/>
          <w:szCs w:val="21"/>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OR OTHER LOAN SECURED BY SUCH SECURITIES.</w:t>
      </w:r>
    </w:p>
    <w:p>
      <w:pPr>
        <w:spacing w:after="0" w:line="171" w:lineRule="exact"/>
        <w:rPr>
          <w:sz w:val="20"/>
          <w:szCs w:val="20"/>
          <w:color w:val="auto"/>
        </w:rPr>
      </w:pPr>
    </w:p>
    <w:p>
      <w:pPr>
        <w:jc w:val="both"/>
        <w:ind w:left="180" w:right="199" w:firstLine="1300"/>
        <w:spacing w:after="0" w:line="255" w:lineRule="auto"/>
        <w:tabs>
          <w:tab w:leader="none" w:pos="218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Investor agrees that it will sell Shares only pursuant to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jc w:val="both"/>
        <w:ind w:left="180" w:right="199"/>
        <w:spacing w:after="0" w:line="259" w:lineRule="auto"/>
        <w:rPr>
          <w:sz w:val="20"/>
          <w:szCs w:val="20"/>
          <w:color w:val="auto"/>
        </w:rPr>
      </w:pPr>
      <w:r>
        <w:rPr>
          <w:rFonts w:ascii="Times New Roman" w:cs="Times New Roman" w:eastAsia="Times New Roman" w:hAnsi="Times New Roman"/>
          <w:sz w:val="22"/>
          <w:szCs w:val="22"/>
          <w:color w:val="auto"/>
        </w:rPr>
        <w:t xml:space="preserve">from certificates representing Shares as set forth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is predicated upon the Company’s reliance upon this understanding.</w:t>
      </w:r>
    </w:p>
    <w:p>
      <w:pPr>
        <w:spacing w:after="0" w:line="157"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The Company shall not sell, offer for sale, or solicit offers to buy or otherwise negotiate in respect of any security (as defined in Section 2 of the Securities Act) that would be integrated with the offer or sale of the Shares to the Investor in a manner that would require the registration under the Securities Act of the sale of the Shares to the Investor.</w:t>
      </w:r>
    </w:p>
    <w:p>
      <w:pPr>
        <w:spacing w:after="0" w:line="180"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The Company and the Investor shall consult with each other in issuing any other press releases with respect to the transactions contemplated hereby, and neither the Company nor the Investor shall issue any such press release nor otherwise make any such public statement without the prior consent of the Company with respect to any press release of the Investor, or without the prior consent of the Investor with respect to any press release of the Company mentioning the Investor, which consent shall not unreasonably be withheld or delayed, except if such disclosure is required by law, in which case the disclosing party shall promptly provide the other party with prior notice of such public statement or communication.</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Indemnification of Investor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2" w:lineRule="auto"/>
        <w:tabs>
          <w:tab w:leader="none" w:pos="220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reimburse and hold harmless the Investor and its partners, members, shareholders, officers, directors, employees and agents (and any other persons with other titles that have similar functions) and each Person, if any, who controls the Investor within the meaning of Section 15 of the Securities Act or Section 20 the Exchange Act (collectively,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any and all losses, claims, liabilities, damages, penalties, suits, costs and expenses, of any kind or nature, (including fees relating to the cost of investigating and defending any of the foregoing) imposed on, incurred by or asserted against such Indemnitee in any way related to or arising from or alleged to arise from: (i) any breach of any of the representations, warranties, covenants or agreements made by the Company in this Agreement or in the other Transaction Documents and (ii) any action instituted against such Indemnitee in any capacity, or any of them or their respective Affiliates, by any stockholder of the Company who is not an Affiliate of such Indemnitee, with respect to any of the transactions contemplated by the Transaction Documents (unless such action is based upon a breach of such Indemnitee’s representations, warranties or covenants under the Transaction Documents or any agreements or understandings such Indemnitee may have with any such stockholder or any violations by such Indemnitee of state or federal securities laws or any conduct by such Indemnitee which results from the gross negligence or willful misconduct of the Indemnitee as determined by a final, nonappealable decision of a court of competent jurisdiction).</w:t>
      </w:r>
    </w:p>
    <w:p>
      <w:pPr>
        <w:spacing w:after="0" w:line="188"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22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by any Indemnitee of a notice of a claim or the beginning of any action in respect of which indemnity is to be sought against an indemnifying Person pursuant to this Section 4.04, such Indemnitee shall notify the indemnifying Person in writing of such claim or of the commencement of such action, and, subject to the provisions hereinafter stated, in case any such action shall be brought against an Indemnitee and such indemnifying Person shall have been notified thereof, such indemnifying Person shall be entitled to participate therein, and, to the extent that it shall wish, to assume the defense thereof, with counsel reasonably satisfactory to such Indemnitee. After notice from the indemnifying Person to such Indemnitee of its election to assume the defense thereof, such indemnifying Person shall not</w:t>
      </w:r>
    </w:p>
    <w:p>
      <w:pPr>
        <w:spacing w:after="0" w:line="18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375285</wp:posOffset>
            </wp:positionV>
            <wp:extent cx="552894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jc w:val="both"/>
        <w:ind w:left="180" w:right="199"/>
        <w:spacing w:after="0" w:line="234" w:lineRule="auto"/>
        <w:rPr>
          <w:sz w:val="20"/>
          <w:szCs w:val="20"/>
          <w:color w:val="auto"/>
        </w:rPr>
      </w:pPr>
      <w:r>
        <w:rPr>
          <w:rFonts w:ascii="Times New Roman" w:cs="Times New Roman" w:eastAsia="Times New Roman" w:hAnsi="Times New Roman"/>
          <w:sz w:val="22"/>
          <w:szCs w:val="22"/>
          <w:color w:val="auto"/>
        </w:rPr>
        <w:t>be liable to such Indemnitee for any legal expenses subsequently incurred by such Indemnitee in connection with the defense thereof; provided, however, that if there exists or shall exist a conflict of interest that would make it inappropriate in the reasonable judgment of the Indemnitee for the same counsel to represent both the Indemnitee and such indemnifying Person or any affiliate or associate thereof, the Indemnitee shall be entitled to retain its own counsel at the expense of such indemnifying Person; provided further, that no indemnifying Person shall be responsible for the fees and expense of more than one separate counsel for all indemnified parties. The indemnifying party shall not settle an action without the consent of the indemnified party, which consent shall not be unreasonably withheld.</w:t>
      </w:r>
    </w:p>
    <w:p>
      <w:pPr>
        <w:spacing w:after="0" w:line="184" w:lineRule="exact"/>
        <w:rPr>
          <w:sz w:val="20"/>
          <w:szCs w:val="20"/>
          <w:color w:val="auto"/>
        </w:rPr>
      </w:pPr>
    </w:p>
    <w:p>
      <w:pPr>
        <w:jc w:val="both"/>
        <w:ind w:left="180" w:right="199" w:firstLine="1300"/>
        <w:spacing w:after="0" w:line="234" w:lineRule="auto"/>
        <w:tabs>
          <w:tab w:leader="none" w:pos="217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proper notice of a claim or the commencement of any action against an Indemnitee, the indemnifying party does not choose to participate, then the Indemnitee shall assume the defense thereof and upon written notice by the Indemnitee requesting advance payment of a stated amount for its reasonable defense costs and expenses, the indemnifying party shall advance payment for such reasonable defense costs and expenses (the “</w:t>
      </w:r>
      <w:r>
        <w:rPr>
          <w:rFonts w:ascii="Times New Roman" w:cs="Times New Roman" w:eastAsia="Times New Roman" w:hAnsi="Times New Roman"/>
          <w:sz w:val="22"/>
          <w:szCs w:val="22"/>
          <w:b w:val="1"/>
          <w:bCs w:val="1"/>
          <w:color w:val="auto"/>
        </w:rPr>
        <w:t>Advance Indemnification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to the Indemnitee. If the Indemnitee’s actual defense costs and expenses exceed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the Advance Indemnification Payment, then upon written request by the Indemnitee, the indemnifying party shall reimburse the Indemnitee for such difference; if the Advance Indemnification Payment exceeds the Indemnitee’s actual costs and expenses, the Indemnitee shall promptly remit payment of such difference to the indemnifying party.</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18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indemnification provided for in this Section 4.04 is held by a court of competent jurisdiction to be unavailable to an Indemnitee with respect to any losses, claims, damages or liabilities referred to herein, the indemnifying party, in lieu of indemnifying such Indemnitee thereunder, shall to the extent permitted by applicable Law contribute to the amount paid or payable by such Indemnitee as a result of such loss, claim, damage or liability in such proportion as is appropriate to reflect the relative fault of the indemnifying party on the one hand and of the Indemnitee on the other, as well as any other relevant equitable considerations.</w:t>
      </w:r>
    </w:p>
    <w:p>
      <w:pPr>
        <w:spacing w:after="0" w:line="183"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Securities Laws Disclosure</w:t>
      </w:r>
      <w:r>
        <w:rPr>
          <w:rFonts w:ascii="Times New Roman" w:cs="Times New Roman" w:eastAsia="Times New Roman" w:hAnsi="Times New Roman"/>
          <w:sz w:val="22"/>
          <w:szCs w:val="22"/>
          <w:color w:val="auto"/>
        </w:rPr>
        <w:t>. The Company shall, by 5:30 p.m. (New York City time) on the fourth Business Day following the date hereof, file a Current Report on Form 8-K disclosing the material terms of the transactions contemplated hereby (the “</w:t>
      </w:r>
      <w:r>
        <w:rPr>
          <w:rFonts w:ascii="Times New Roman" w:cs="Times New Roman" w:eastAsia="Times New Roman" w:hAnsi="Times New Roman"/>
          <w:sz w:val="22"/>
          <w:szCs w:val="22"/>
          <w:b w:val="1"/>
          <w:bCs w:val="1"/>
          <w:color w:val="auto"/>
        </w:rPr>
        <w:t>Form 8-K</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From and after the filing of the Form 8-K, the Investor shall not be in possession of any material, non-public information received from the Company or any of its officers, directors or employees that is not disclosed in the Form 8-K.</w:t>
      </w:r>
    </w:p>
    <w:p>
      <w:pPr>
        <w:spacing w:after="0" w:line="181"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Except with respect to the material terms and conditions of the transactions contemplated by the Transaction Documents (collectively, “</w:t>
      </w:r>
      <w:r>
        <w:rPr>
          <w:rFonts w:ascii="Times New Roman" w:cs="Times New Roman" w:eastAsia="Times New Roman" w:hAnsi="Times New Roman"/>
          <w:sz w:val="22"/>
          <w:szCs w:val="22"/>
          <w:b w:val="1"/>
          <w:bCs w:val="1"/>
          <w:color w:val="auto"/>
        </w:rPr>
        <w:t>Non-Public Information</w:t>
      </w:r>
      <w:r>
        <w:rPr>
          <w:rFonts w:ascii="Times New Roman" w:cs="Times New Roman" w:eastAsia="Times New Roman" w:hAnsi="Times New Roman"/>
          <w:sz w:val="22"/>
          <w:szCs w:val="22"/>
          <w:color w:val="auto"/>
        </w:rPr>
        <w:t>”), the Company covenants and agrees that neither it nor any other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acting on its behalf has provided or made available to the Investor, the Placement Agent or any of the Investor’s or Placement Agent’s agents or counsel with any information that the Company believes constitutes material non-public information.</w:t>
      </w:r>
    </w:p>
    <w:p>
      <w:pPr>
        <w:spacing w:after="0" w:line="181"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Right of First Refusal</w:t>
      </w:r>
      <w:r>
        <w:rPr>
          <w:rFonts w:ascii="Times New Roman" w:cs="Times New Roman" w:eastAsia="Times New Roman" w:hAnsi="Times New Roman"/>
          <w:sz w:val="22"/>
          <w:szCs w:val="22"/>
          <w:color w:val="auto"/>
        </w:rPr>
        <w:t>. For a period of eighteen (18) months following the date of this Agreement, unless the Company shall have first delivered to the Investor at least two (2) Business Days prior to entering into any definitive agreement with respect to a proposed debt or equity financing (a “</w:t>
      </w:r>
      <w:r>
        <w:rPr>
          <w:rFonts w:ascii="Times New Roman" w:cs="Times New Roman" w:eastAsia="Times New Roman" w:hAnsi="Times New Roman"/>
          <w:sz w:val="22"/>
          <w:szCs w:val="22"/>
          <w:b w:val="1"/>
          <w:bCs w:val="1"/>
          <w:color w:val="auto"/>
        </w:rPr>
        <w:t>Contemplated Financing</w:t>
      </w:r>
      <w:r>
        <w:rPr>
          <w:rFonts w:ascii="Times New Roman" w:cs="Times New Roman" w:eastAsia="Times New Roman" w:hAnsi="Times New Roman"/>
          <w:sz w:val="22"/>
          <w:szCs w:val="22"/>
          <w:color w:val="auto"/>
        </w:rPr>
        <w:t>”) written notice describing the</w:t>
      </w:r>
    </w:p>
    <w:p>
      <w:pPr>
        <w:spacing w:after="0" w:line="1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jc w:val="both"/>
        <w:ind w:left="180" w:right="199"/>
        <w:spacing w:after="0" w:line="233" w:lineRule="auto"/>
        <w:rPr>
          <w:sz w:val="20"/>
          <w:szCs w:val="20"/>
          <w:color w:val="auto"/>
        </w:rPr>
      </w:pPr>
      <w:r>
        <w:rPr>
          <w:rFonts w:ascii="Times New Roman" w:cs="Times New Roman" w:eastAsia="Times New Roman" w:hAnsi="Times New Roman"/>
          <w:sz w:val="22"/>
          <w:szCs w:val="22"/>
          <w:color w:val="auto"/>
        </w:rPr>
        <w:t>Contemplated Financing (a “</w:t>
      </w:r>
      <w:r>
        <w:rPr>
          <w:rFonts w:ascii="Times New Roman" w:cs="Times New Roman" w:eastAsia="Times New Roman" w:hAnsi="Times New Roman"/>
          <w:sz w:val="22"/>
          <w:szCs w:val="22"/>
          <w:b w:val="1"/>
          <w:bCs w:val="1"/>
          <w:color w:val="auto"/>
        </w:rPr>
        <w:t>ROFR Notice</w:t>
      </w:r>
      <w:r>
        <w:rPr>
          <w:rFonts w:ascii="Times New Roman" w:cs="Times New Roman" w:eastAsia="Times New Roman" w:hAnsi="Times New Roman"/>
          <w:sz w:val="22"/>
          <w:szCs w:val="22"/>
          <w:color w:val="auto"/>
        </w:rPr>
        <w:t>”), including the terms and conditions thereof, identity of the proposed investor(s) or financing parties and proposed definitive documentation to be entered into in connection therewith, and providing the Investor an option during the two (2) Business Day period following delivery of such notice to purchase the securities being offered or otherwise participate in the Contemplated Financing on the same terms as other investors in the Contemplated Financing, the Company will not conduct or complete any such Contemplated Financing. In the event the terms and conditions of a Contemplated Financing are amended in any material respect after delivery of the ROFR Notice to the Investor concerning the Contemplated Financing, the Company shall deliver a new ROFR Notice to the Investor describing the amended terms and conditions of the Contemplated Financing and the Investor thereafter shall have an option during the two (2) Business Day period following delivery of such new ROFR Notice to purchase its pro rata share of the securities being offered or otherwise participate on the same terms as contemplated by such amended Contemplated Financing.</w:t>
      </w:r>
    </w:p>
    <w:p>
      <w:pPr>
        <w:spacing w:after="0" w:line="18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ARTICLE V</w:t>
      </w:r>
    </w:p>
    <w:p>
      <w:pPr>
        <w:spacing w:after="0" w:line="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Company shall bear its own expenses incurred in connection with its negotiation, preparation, execution, delivery and performance of the Transaction Documents, including, without limitation, reasonable attorneys’ and consultants’ fees and expenses, fees relating to any amendments or modifications of the Transaction Documents or any consents or waivers of provisions in the Transaction Documents, fees for the preparation of opinions of counsel, escrow fees, and costs of any restructuring of the transactions contemplated by the Transaction Documents.</w:t>
      </w:r>
    </w:p>
    <w:p>
      <w:pPr>
        <w:spacing w:after="0" w:line="183"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77"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or other communications or deliveries required or permitted to be provided hereunder shall be in writing and shall be deemed given and effective upon actual receipt via mail, courier or confirmed email by the party to whom such notice is required to be given. The address for such notices and communications shall be as set forth on the signature pages attached hereto or to such other persons or addresses as may be designated in writing by the party to receive such notice.</w:t>
      </w:r>
    </w:p>
    <w:p>
      <w:pPr>
        <w:spacing w:after="0" w:line="181"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No provision of this Agreement may be waived, modified, supplemented, or amended except in a written instrument signed, in the case of an amendment, by the Company and the Investor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and their successors and permitted assigns. The Company may not assign this Agreement or any rights or obligations hereunder without the prior written consent of the Investor (other than by merger). The Investor may assign any or all of its rights under this Agreement to any Person to whom the Investor assigns or transfers any Shares, provided that such transfer complies with all applicable federal and State Securities Laws and that Investor obtains the prior written consent of the Company (which consent shall not be required with respect to any assignment effected by merger).</w:t>
      </w:r>
    </w:p>
    <w:p>
      <w:pPr>
        <w:spacing w:after="0" w:line="179"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intended for the benefit of the parties hereto and their respective permitted successors and assigns. Except for the Placement Agent, who shall be a third party beneficiary of the representations, warranties and covenants of the Company and of the Investor in this Agreement, this Agreement is not for the benefit of, nor may any provision hereof be enforced by, any other Person.</w:t>
      </w:r>
    </w:p>
    <w:p>
      <w:pPr>
        <w:spacing w:after="0" w:line="177" w:lineRule="exact"/>
        <w:rPr>
          <w:sz w:val="20"/>
          <w:szCs w:val="20"/>
          <w:color w:val="auto"/>
        </w:rPr>
      </w:pPr>
    </w:p>
    <w:p>
      <w:pPr>
        <w:jc w:val="both"/>
        <w:ind w:left="180" w:right="19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State of New York. Each party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79"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w:t>
      </w:r>
    </w:p>
    <w:p>
      <w:pPr>
        <w:spacing w:after="0" w:line="18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p>
      <w:pPr>
        <w:jc w:val="both"/>
        <w:ind w:left="180" w:right="199"/>
        <w:spacing w:after="0" w:line="259" w:lineRule="auto"/>
        <w:rPr>
          <w:sz w:val="20"/>
          <w:szCs w:val="20"/>
          <w:color w:val="auto"/>
        </w:rPr>
      </w:pPr>
      <w:r>
        <w:rPr>
          <w:rFonts w:ascii="Times New Roman" w:cs="Times New Roman" w:eastAsia="Times New Roman" w:hAnsi="Times New Roman"/>
          <w:sz w:val="22"/>
          <w:szCs w:val="22"/>
          <w:color w:val="auto"/>
        </w:rPr>
        <w:t>behalf such signature is executed) with the same force and effect as if such facsimile or “.pdf” signature page was an original thereof.</w:t>
      </w:r>
    </w:p>
    <w:p>
      <w:pPr>
        <w:spacing w:after="0" w:line="157"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3"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Replacement of Shares</w:t>
      </w:r>
      <w:r>
        <w:rPr>
          <w:rFonts w:ascii="Times New Roman" w:cs="Times New Roman" w:eastAsia="Times New Roman" w:hAnsi="Times New Roman"/>
          <w:sz w:val="22"/>
          <w:szCs w:val="22"/>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addition to being entitled to exercise all rights provided herein or granted by law, including recovery of damages, each of the Investor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3"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77"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herein are for convenience only, do not constitute a part of this Agreement and shall not be deemed to limit or affect any of the provisions hereof.</w:t>
      </w:r>
    </w:p>
    <w:p>
      <w:pPr>
        <w:spacing w:after="0" w:line="158" w:lineRule="exact"/>
        <w:rPr>
          <w:sz w:val="20"/>
          <w:szCs w:val="20"/>
          <w:color w:val="auto"/>
        </w:rPr>
      </w:pPr>
    </w:p>
    <w:p>
      <w:pPr>
        <w:jc w:val="both"/>
        <w:ind w:left="180" w:right="199"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ind w:left="180" w:right="19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Exchange Agreement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executed by their respective authorized signatories as of the date below.</w:t>
      </w:r>
    </w:p>
    <w:p>
      <w:pPr>
        <w:spacing w:after="0" w:line="1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AQUABOUNTY TECHNOLOGIES, INC.</w:t>
      </w: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 David A. Frank</w:t>
      </w:r>
    </w:p>
    <w:p>
      <w:pPr>
        <w:ind w:left="4740"/>
        <w:spacing w:after="0"/>
        <w:rPr>
          <w:sz w:val="20"/>
          <w:szCs w:val="20"/>
          <w:color w:val="auto"/>
        </w:rPr>
      </w:pPr>
      <w:r>
        <w:rPr>
          <w:rFonts w:ascii="Times New Roman" w:cs="Times New Roman" w:eastAsia="Times New Roman" w:hAnsi="Times New Roman"/>
          <w:sz w:val="22"/>
          <w:szCs w:val="22"/>
          <w:color w:val="auto"/>
        </w:rPr>
        <w:t>Title: Interim Chief Executive Officer</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3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AquaBounty Technologies, Inc.</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233 Ayer Road, Suite 4</w:t>
      </w:r>
    </w:p>
    <w:p>
      <w:pPr>
        <w:ind w:left="4740"/>
        <w:spacing w:after="0" w:line="230" w:lineRule="auto"/>
        <w:rPr>
          <w:sz w:val="20"/>
          <w:szCs w:val="20"/>
          <w:color w:val="auto"/>
        </w:rPr>
      </w:pPr>
      <w:r>
        <w:rPr>
          <w:rFonts w:ascii="Times New Roman" w:cs="Times New Roman" w:eastAsia="Times New Roman" w:hAnsi="Times New Roman"/>
          <w:sz w:val="22"/>
          <w:szCs w:val="22"/>
          <w:color w:val="auto"/>
        </w:rPr>
        <w:t>Harvard, Massachusetts 01451</w:t>
      </w:r>
    </w:p>
    <w:p>
      <w:pPr>
        <w:ind w:left="4740"/>
        <w:spacing w:after="0" w:line="231" w:lineRule="auto"/>
        <w:rPr>
          <w:sz w:val="20"/>
          <w:szCs w:val="20"/>
          <w:color w:val="auto"/>
        </w:rPr>
      </w:pPr>
      <w:r>
        <w:rPr>
          <w:rFonts w:ascii="Times New Roman" w:cs="Times New Roman" w:eastAsia="Times New Roman" w:hAnsi="Times New Roman"/>
          <w:sz w:val="22"/>
          <w:szCs w:val="22"/>
          <w:color w:val="auto"/>
        </w:rPr>
        <w:t>Attention: David A. Frank</w:t>
      </w:r>
    </w:p>
    <w:p>
      <w:pPr>
        <w:ind w:left="4740"/>
        <w:spacing w:after="0"/>
        <w:rPr>
          <w:sz w:val="20"/>
          <w:szCs w:val="20"/>
          <w:color w:val="auto"/>
        </w:rPr>
      </w:pPr>
      <w:r>
        <w:rPr>
          <w:rFonts w:ascii="Times New Roman" w:cs="Times New Roman" w:eastAsia="Times New Roman" w:hAnsi="Times New Roman"/>
          <w:sz w:val="22"/>
          <w:szCs w:val="22"/>
          <w:color w:val="auto"/>
        </w:rPr>
        <w:t>Email: dfrank@aquabounty.com</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With a copy to (which shall not constitute</w:t>
      </w:r>
    </w:p>
    <w:p>
      <w:pPr>
        <w:spacing w:after="0" w:line="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notice):</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FBT Gibbons LLP</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325 West Main Street, Suite 301</w:t>
      </w:r>
    </w:p>
    <w:p>
      <w:pPr>
        <w:ind w:left="4740"/>
        <w:spacing w:after="0" w:line="230" w:lineRule="auto"/>
        <w:rPr>
          <w:sz w:val="20"/>
          <w:szCs w:val="20"/>
          <w:color w:val="auto"/>
        </w:rPr>
      </w:pPr>
      <w:r>
        <w:rPr>
          <w:rFonts w:ascii="Times New Roman" w:cs="Times New Roman" w:eastAsia="Times New Roman" w:hAnsi="Times New Roman"/>
          <w:sz w:val="22"/>
          <w:szCs w:val="22"/>
          <w:color w:val="auto"/>
        </w:rPr>
        <w:t>Lexington, Kentucky 40507</w:t>
      </w:r>
    </w:p>
    <w:p>
      <w:pPr>
        <w:ind w:left="4740"/>
        <w:spacing w:after="0" w:line="231" w:lineRule="auto"/>
        <w:rPr>
          <w:sz w:val="20"/>
          <w:szCs w:val="20"/>
          <w:color w:val="auto"/>
        </w:rPr>
      </w:pPr>
      <w:r>
        <w:rPr>
          <w:rFonts w:ascii="Times New Roman" w:cs="Times New Roman" w:eastAsia="Times New Roman" w:hAnsi="Times New Roman"/>
          <w:sz w:val="22"/>
          <w:szCs w:val="22"/>
          <w:color w:val="auto"/>
        </w:rPr>
        <w:t>Attention: Jeff Hallos</w:t>
      </w:r>
    </w:p>
    <w:p>
      <w:pPr>
        <w:ind w:left="4740"/>
        <w:spacing w:after="0"/>
        <w:rPr>
          <w:sz w:val="20"/>
          <w:szCs w:val="20"/>
          <w:color w:val="auto"/>
        </w:rPr>
      </w:pPr>
      <w:r>
        <w:rPr>
          <w:rFonts w:ascii="Times New Roman" w:cs="Times New Roman" w:eastAsia="Times New Roman" w:hAnsi="Times New Roman"/>
          <w:sz w:val="22"/>
          <w:szCs w:val="22"/>
          <w:color w:val="auto"/>
        </w:rPr>
        <w:t>E-mail: jhallos@fbtgibbons.com</w:t>
      </w: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The Investor executing the Signature Page in</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xml:space="preserve">the form </w:t>
      </w:r>
      <w:r>
        <w:rPr>
          <w:rFonts w:ascii="Times New Roman" w:cs="Times New Roman" w:eastAsia="Times New Roman" w:hAnsi="Times New Roman"/>
          <w:sz w:val="22"/>
          <w:szCs w:val="22"/>
          <w:b w:val="1"/>
          <w:bCs w:val="1"/>
          <w:color w:val="auto"/>
        </w:rPr>
        <w:t>attached</w:t>
      </w:r>
      <w:r>
        <w:rPr>
          <w:rFonts w:ascii="Times New Roman" w:cs="Times New Roman" w:eastAsia="Times New Roman" w:hAnsi="Times New Roman"/>
          <w:sz w:val="22"/>
          <w:szCs w:val="22"/>
          <w:color w:val="auto"/>
        </w:rPr>
        <w:t xml:space="preserve"> hereto as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and</w:t>
      </w:r>
    </w:p>
    <w:p>
      <w:pPr>
        <w:ind w:left="4740"/>
        <w:spacing w:after="0" w:line="230" w:lineRule="auto"/>
        <w:rPr>
          <w:sz w:val="20"/>
          <w:szCs w:val="20"/>
          <w:color w:val="auto"/>
        </w:rPr>
      </w:pPr>
      <w:r>
        <w:rPr>
          <w:rFonts w:ascii="Times New Roman" w:cs="Times New Roman" w:eastAsia="Times New Roman" w:hAnsi="Times New Roman"/>
          <w:sz w:val="22"/>
          <w:szCs w:val="22"/>
          <w:color w:val="auto"/>
        </w:rPr>
        <w:t>delivering the same to the Company or its</w:t>
      </w:r>
    </w:p>
    <w:p>
      <w:pPr>
        <w:ind w:left="4740"/>
        <w:spacing w:after="0" w:line="231" w:lineRule="auto"/>
        <w:rPr>
          <w:sz w:val="20"/>
          <w:szCs w:val="20"/>
          <w:color w:val="auto"/>
        </w:rPr>
      </w:pPr>
      <w:r>
        <w:rPr>
          <w:rFonts w:ascii="Times New Roman" w:cs="Times New Roman" w:eastAsia="Times New Roman" w:hAnsi="Times New Roman"/>
          <w:sz w:val="22"/>
          <w:szCs w:val="22"/>
          <w:color w:val="auto"/>
        </w:rPr>
        <w:t>agents shall be deemed to have executed this</w:t>
      </w:r>
    </w:p>
    <w:p>
      <w:pPr>
        <w:ind w:left="4740"/>
        <w:spacing w:after="0"/>
        <w:rPr>
          <w:sz w:val="20"/>
          <w:szCs w:val="20"/>
          <w:color w:val="auto"/>
        </w:rPr>
      </w:pPr>
      <w:r>
        <w:rPr>
          <w:rFonts w:ascii="Times New Roman" w:cs="Times New Roman" w:eastAsia="Times New Roman" w:hAnsi="Times New Roman"/>
          <w:sz w:val="22"/>
          <w:szCs w:val="22"/>
          <w:color w:val="auto"/>
        </w:rPr>
        <w:t>Agreement and agreed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951865</wp:posOffset>
            </wp:positionV>
            <wp:extent cx="552894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EXCHANGE AGREEMENT Investor Counterpart Signature Page</w:t>
      </w:r>
    </w:p>
    <w:p>
      <w:pPr>
        <w:spacing w:after="0" w:line="210"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The undersigned, desiring to: (i) enter into this Exchange Agreement dated as of April 7, 2026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AquaBounty Technologies,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in or substantially in the form furnished to the undersigned and (ii) purchase the Shares as set forth below, hereby agrees to purchase such Shares from the Company as of the Closing and further agrees to join the Agreement as a party thereto, with all the rights and privileges appertaining thereto, and to be bound in all respects by the terms and conditions thereof. The undersigned specifically acknowledges having read the representations in this Agreement’s section entitled “Representations and Warranties of the Investor”, and hereby represents that the statements contained therein are complete and accurate with respect to the undersigned as the Investor.</w:t>
      </w:r>
    </w:p>
    <w:p>
      <w:pPr>
        <w:spacing w:after="0" w:line="17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200" w:lineRule="exact"/>
        <w:rPr>
          <w:sz w:val="20"/>
          <w:szCs w:val="20"/>
          <w:color w:val="auto"/>
        </w:rPr>
      </w:pPr>
    </w:p>
    <w:p>
      <w:pPr>
        <w:spacing w:after="0" w:line="2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w:t>
      </w:r>
    </w:p>
    <w:p>
      <w:pPr>
        <w:ind w:left="4900"/>
        <w:spacing w:after="0"/>
        <w:rPr>
          <w:sz w:val="20"/>
          <w:szCs w:val="20"/>
          <w:color w:val="auto"/>
        </w:rPr>
      </w:pPr>
      <w:r>
        <w:rPr>
          <w:rFonts w:ascii="Times New Roman" w:cs="Times New Roman" w:eastAsia="Times New Roman" w:hAnsi="Times New Roman"/>
          <w:sz w:val="22"/>
          <w:szCs w:val="22"/>
          <w:color w:val="auto"/>
        </w:rPr>
        <w:t>Title:</w:t>
      </w:r>
    </w:p>
    <w:p>
      <w:pPr>
        <w:spacing w:after="0" w:line="2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3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With a copy to (which shall not constitute</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notice):</w:t>
      </w:r>
    </w:p>
    <w:p>
      <w:pPr>
        <w:spacing w:after="0" w:line="2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Attention: [•]</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69850</wp:posOffset>
            </wp:positionV>
            <wp:extent cx="552894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22"/>
          <w:szCs w:val="22"/>
          <w:b w:val="1"/>
          <w:bCs w:val="1"/>
          <w:color w:val="auto"/>
        </w:rPr>
        <w:t>Senior Note Principal Amount:</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b w:val="1"/>
          <w:bCs w:val="1"/>
          <w:color w:val="auto"/>
        </w:rPr>
        <w:t>Senior Note Total Amount (Including Interest):</w:t>
      </w:r>
    </w:p>
    <w:p>
      <w:pPr>
        <w:spacing w:after="0" w:line="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Exchange Ratio:</w:t>
      </w:r>
    </w:p>
    <w:p>
      <w:pPr>
        <w:spacing w:after="0" w:line="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Shares Issued to Investor: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ectPr>
          <w:pgSz w:w="11900" w:h="16838" w:orient="portrait"/>
          <w:cols w:equalWidth="0" w:num="2">
            <w:col w:w="4660" w:space="520"/>
            <w:col w:w="3839"/>
          </w:cols>
          <w:pgMar w:left="1440" w:top="108"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0147620.0810887  4931-6404-0605v4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69850</wp:posOffset>
            </wp:positionV>
            <wp:extent cx="552894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44" w:name="page45"/>
    <w:bookmarkEnd w:id="44"/>
    <w:p>
      <w:pPr>
        <w:jc w:val="right"/>
        <w:ind w:right="199"/>
        <w:spacing w:after="0"/>
        <w:rPr>
          <w:sz w:val="20"/>
          <w:szCs w:val="20"/>
          <w:color w:val="auto"/>
        </w:rPr>
      </w:pPr>
      <w:r>
        <w:rPr>
          <w:rFonts w:ascii="Times New Roman" w:cs="Times New Roman" w:eastAsia="Times New Roman" w:hAnsi="Times New Roman"/>
          <w:sz w:val="22"/>
          <w:szCs w:val="22"/>
          <w:color w:val="auto"/>
        </w:rPr>
        <w:t>Exhibit 10.2</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PREFERRED STOCK PURCHASE AGREEMENT</w:t>
      </w:r>
    </w:p>
    <w:p>
      <w:pPr>
        <w:spacing w:after="0" w:line="178"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This Preferred Stock Purchase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April 7, 2026 between AquaBounty Technologies,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purchaser identified on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hereto (each, including its successors and assigns,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180" w:right="19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 the Company wishes to offer for sale to the certain investors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Investors</w:t>
      </w:r>
      <w:r>
        <w:rPr>
          <w:rFonts w:ascii="Times New Roman" w:cs="Times New Roman" w:eastAsia="Times New Roman" w:hAnsi="Times New Roman"/>
          <w:sz w:val="22"/>
          <w:szCs w:val="22"/>
          <w:color w:val="auto"/>
        </w:rPr>
        <w:t>”) up to an aggregate of $5,000,000 in Preferred Stock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designated as “Series A Convertible Preferred Stock” (the “</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xml:space="preserve">”), and (ii) as part of the Offering, the Investor wishes to purchase from the Company the amount of shares of Series A Preferred Stock set forth on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and the Company wishes to sell the Shares to the Investor, upon the terms and conditions stated in this Agreement.</w:t>
      </w:r>
    </w:p>
    <w:p>
      <w:pPr>
        <w:spacing w:after="0" w:line="175"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Investor are executing and delivering this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reliance upon an exemption from securities registration requirements of the Securities Act of 1933, as amended, afforded by the provisions of Section 4(a)(2) and/or Rule 506(b) of Regulation D promulgated thereunder by the U.S. Securities and Exchange Commission.</w:t>
      </w:r>
    </w:p>
    <w:p>
      <w:pPr>
        <w:spacing w:after="0" w:line="17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for other good and valuable consideration, the receipt and adequacy of which are hereby acknowledged, the Company and Investor agree as follows:</w:t>
      </w:r>
    </w:p>
    <w:p>
      <w:pPr>
        <w:spacing w:after="0" w:line="1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u w:val="single" w:color="auto"/>
          <w:color w:val="auto"/>
        </w:rPr>
        <w:t>ARTICLE I</w:t>
      </w:r>
    </w:p>
    <w:p>
      <w:pPr>
        <w:spacing w:after="0" w:line="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In addition to the terms defined elsewhere in this Agreement, the following terms have the meanings set forth in this Agreement.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Action</w:t>
      </w:r>
      <w:r>
        <w:rPr>
          <w:rFonts w:ascii="Times New Roman" w:cs="Times New Roman" w:eastAsia="Times New Roman" w:hAnsi="Times New Roman"/>
          <w:sz w:val="22"/>
          <w:szCs w:val="22"/>
          <w:color w:val="auto"/>
        </w:rPr>
        <w:t>” means any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w:t>
      </w:r>
    </w:p>
    <w:p>
      <w:pPr>
        <w:spacing w:after="0" w:line="172"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jc w:val="both"/>
        <w:ind w:left="180" w:right="19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Saturday, Sunday, any day which is a federal legal holiday in the United States or any day on which banking institutions in the State of New York are authorized or required by law or other governmental action to close.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118745</wp:posOffset>
            </wp:positionV>
            <wp:extent cx="552894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5" w:name="page46"/>
    <w:bookmarkEnd w:id="45"/>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means the closing of the purchase and sale of the Shares pursuant to Section</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2.01.</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means the date hereof.</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 par value $0.001 per share, and any other class of securities into which such securities may hereafter be reclassified or changed.</w:t>
      </w:r>
    </w:p>
    <w:p>
      <w:pPr>
        <w:spacing w:after="0" w:line="167" w:lineRule="exact"/>
        <w:rPr>
          <w:sz w:val="20"/>
          <w:szCs w:val="20"/>
          <w:color w:val="auto"/>
        </w:rPr>
      </w:pPr>
    </w:p>
    <w:p>
      <w:pPr>
        <w:jc w:val="both"/>
        <w:ind w:left="180" w:right="199"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Waiver Letter</w:t>
      </w:r>
      <w:r>
        <w:rPr>
          <w:rFonts w:ascii="Times New Roman" w:cs="Times New Roman" w:eastAsia="Times New Roman" w:hAnsi="Times New Roman"/>
          <w:sz w:val="21"/>
          <w:szCs w:val="21"/>
          <w:color w:val="auto"/>
        </w:rPr>
        <w:t>” means that certain default waiver letter to be entered into by the Company and the Investors in respect of certain compliance or remedial measures taken by Nasdaq in respect of the Common Stock in light of certain information that the Company included in its Form 10-K for the fiscal year ended December 31, 2025, which was filed on March 31, 2026.</w:t>
      </w:r>
    </w:p>
    <w:p>
      <w:pPr>
        <w:spacing w:after="0" w:line="158"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U.S. generally accepted accounting principles consistently applied.</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means any national, federal, state, county, municipal, local or foreign government, or any political subdivision, court, body, agency or regulatory authority thereof, and any person exercising executive, legislative, judicial, regulatory, taxing or administrative functions of or pertaining to any of the foregoing.</w:t>
      </w:r>
    </w:p>
    <w:p>
      <w:pPr>
        <w:spacing w:after="0" w:line="172"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any law, statute, common law, rule, code, executive order, directive, ordinance, regulation, order, statutory guidance, regulatory code of practice, permit or term or condition thereof, binding action or other requirement issued, entered, enforced or applied by any Governmental Entity.</w:t>
      </w:r>
    </w:p>
    <w:p>
      <w:pPr>
        <w:spacing w:after="0" w:line="172"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shall mean a lien, charge, security interest, encumbrance, right of first refusal, preemptive right or other similar restriction or adverse claim of a third party.</w:t>
      </w:r>
    </w:p>
    <w:p>
      <w:pPr>
        <w:spacing w:after="0" w:line="150" w:lineRule="exact"/>
        <w:rPr>
          <w:sz w:val="20"/>
          <w:szCs w:val="20"/>
          <w:color w:val="auto"/>
        </w:rPr>
      </w:pPr>
    </w:p>
    <w:p>
      <w:pPr>
        <w:jc w:val="both"/>
        <w:ind w:left="180" w:right="199"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shall mean any events, changes or developments that, individually or in the aggregate, have a material adverse effect on the business, financial condition or results of operations of the Company and its Subsidiaries as currently conducted, taken as a whole, other than any event, change or development resulting from or arising out of the following:</w:t>
      </w:r>
    </w:p>
    <w:p>
      <w:pPr>
        <w:spacing w:after="0" w:line="2" w:lineRule="exact"/>
        <w:rPr>
          <w:sz w:val="20"/>
          <w:szCs w:val="20"/>
          <w:color w:val="auto"/>
        </w:rPr>
      </w:pPr>
    </w:p>
    <w:p>
      <w:pPr>
        <w:jc w:val="both"/>
        <w:ind w:left="180" w:right="199" w:firstLine="4"/>
        <w:spacing w:after="0" w:line="243" w:lineRule="auto"/>
        <w:tabs>
          <w:tab w:leader="none" w:pos="50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 changes or developments generally affecting the economy, the financial or securities markets, or political, legislative or regulatory conditions, in each case in the United States or elsewhere in the world, (b) events, changes or developments in the industries in which the Company or any of its Subsidiaries conducts its business, (c) any adoption, implementation, promulgation, repeal, modification, reinterpretation or proposal of (i) any Law by a Governmental Entity or (ii) rule or regulation by a market administrator, (d) any changes in GAAP or accounting standards or interpretations thereof, (e) earthquakes, any weather-related or other force majeure event or natural disasters, pandemics or outbreak or escalation of hostilities or acts of war or terrorism, (f) the announcement or the existence of, compliance with or performance under, this Agreement or the transactions contemplated hereby (it being understood and agreed that the exception in this clause (f) shall not apply with respect to any representation or warranty that is intended to address the consequences of the execution, delivery or performance of this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6" w:name="page47"/>
    <w:bookmarkEnd w:id="46"/>
    <w:p>
      <w:pPr>
        <w:jc w:val="both"/>
        <w:ind w:left="180" w:right="199"/>
        <w:spacing w:after="0" w:line="244" w:lineRule="auto"/>
        <w:rPr>
          <w:sz w:val="20"/>
          <w:szCs w:val="20"/>
          <w:color w:val="auto"/>
        </w:rPr>
      </w:pPr>
      <w:r>
        <w:rPr>
          <w:rFonts w:ascii="Times New Roman" w:cs="Times New Roman" w:eastAsia="Times New Roman" w:hAnsi="Times New Roman"/>
          <w:sz w:val="21"/>
          <w:szCs w:val="21"/>
          <w:color w:val="auto"/>
        </w:rPr>
        <w:t>or the consummation of the transactions contemplated hereby), (g) any taking of any action at the request of the Investor, (h) any failure by the Company to meet any financial projections or forecasts or estimates of revenues, earnings or other financial metrics for any period (provided that the exception in this clause (h) shall not prevent or otherwise affect a determination that any event, change, effect or development underlying such failure has resulted in a Material Adverse Effect so long as it is not otherwise excluded by this definition) or (i) any changes in the share price or trading volume of the Company’s Common Stock or in the Company’s credit rating (provided that the exception in this clause (i) shall not prevent or otherwise affect a determination that any event, change, effect or development underlying such change has resulted in a Material Adverse Effect so long as it is not otherwise excluded by this definition); except, in each case with respect to subclauses (a) through (e), to the extent that such event, change or development disproportionately affects the Company and its Subsidiaries, taken as a whole, relative to other similarly situated companies in the industries in which the Company and its Subsidiaries conduct their business.</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means The Nasdaq Stock Market LLC.</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joint-venture, limited liability company, joint-stock company, government (or an agency or subdivision thereof) or other entity of any kind.</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Agent</w:t>
      </w:r>
      <w:r>
        <w:rPr>
          <w:rFonts w:ascii="Times New Roman" w:cs="Times New Roman" w:eastAsia="Times New Roman" w:hAnsi="Times New Roman"/>
          <w:sz w:val="22"/>
          <w:szCs w:val="22"/>
          <w:color w:val="auto"/>
        </w:rPr>
        <w:t>” means Univest Securities, LLC.</w:t>
      </w:r>
    </w:p>
    <w:p>
      <w:pPr>
        <w:spacing w:after="0" w:line="206"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means the preferred stock of the Company, par value $0.01 per share, and any other class of securities into which such securities may hereafter be reclassified or changed.</w:t>
      </w:r>
    </w:p>
    <w:p>
      <w:pPr>
        <w:spacing w:after="0" w:line="167" w:lineRule="exact"/>
        <w:rPr>
          <w:sz w:val="20"/>
          <w:szCs w:val="20"/>
          <w:color w:val="auto"/>
        </w:rPr>
      </w:pPr>
    </w:p>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 action, claim, suit, investigation or proceeding (including, without limitation, an informal investigation or partial proceeding, such as a deposition), whether commenced or threatened.</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 Reports</w:t>
      </w:r>
      <w:r>
        <w:rPr>
          <w:rFonts w:ascii="Times New Roman" w:cs="Times New Roman" w:eastAsia="Times New Roman" w:hAnsi="Times New Roman"/>
          <w:sz w:val="22"/>
          <w:szCs w:val="22"/>
          <w:color w:val="auto"/>
        </w:rPr>
        <w:t>” means collectively all reports, schedules, forms, statements and other documents required to be filed by the Company under the Securities Act and the Exchange Act, including pursuant to Section 13(a) or 15(d) thereof, since January 1, 2024 (including the exhibits thereto and documents incorporated by reference therein).</w:t>
      </w:r>
    </w:p>
    <w:p>
      <w:pPr>
        <w:spacing w:after="0" w:line="172"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50" w:lineRule="exact"/>
        <w:rPr>
          <w:sz w:val="20"/>
          <w:szCs w:val="20"/>
          <w:color w:val="auto"/>
        </w:rPr>
      </w:pPr>
    </w:p>
    <w:p>
      <w:pPr>
        <w:jc w:val="both"/>
        <w:ind w:left="180" w:right="1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State Securities Laws</w:t>
      </w:r>
      <w:r>
        <w:rPr>
          <w:rFonts w:ascii="Times New Roman" w:cs="Times New Roman" w:eastAsia="Times New Roman" w:hAnsi="Times New Roman"/>
          <w:sz w:val="22"/>
          <w:szCs w:val="22"/>
          <w:color w:val="auto"/>
        </w:rPr>
        <w:t>” means the securities (or “blue sky”) rules, regulations, or other similar laws of a particular state.</w:t>
      </w:r>
    </w:p>
    <w:p>
      <w:pPr>
        <w:spacing w:after="0" w:line="150" w:lineRule="exact"/>
        <w:rPr>
          <w:sz w:val="20"/>
          <w:szCs w:val="20"/>
          <w:color w:val="auto"/>
        </w:rPr>
      </w:pPr>
    </w:p>
    <w:p>
      <w:pPr>
        <w:jc w:val="both"/>
        <w:ind w:left="180" w:right="1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individual or entity the Company wholly owns or controls, or in which the Company, directly or indirectly, owns a majority of the voting stock or similar voting interest, in each case that is or would be disclosable pursuant to Item 601(b)(21) of Regulation S-K promulgated under the Securities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jc w:val="both"/>
        <w:ind w:left="180" w:right="19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this Agreement and all appendices, exhibits and schedules hereto and thereto and any other documents or agreements executed in connection with the transactions contemplated hereunder.</w:t>
      </w:r>
    </w:p>
    <w:p>
      <w:pPr>
        <w:spacing w:after="0" w:line="16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ARTICLE II</w:t>
      </w:r>
    </w:p>
    <w:p>
      <w:pPr>
        <w:spacing w:after="0" w:line="1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9" w:lineRule="auto"/>
        <w:tabs>
          <w:tab w:leader="none" w:pos="218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Closing Date, upon the terms and subject to the conditions set forth herein, substantially concurrent with the execution and delivery of this Agreement by the parties hereto, the Investor agrees to purchase, and the Company agrees to sell, the Shares in exchange for the consideration listed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1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Closing, the Investor shall deliver, via wire transfer, immediately available funds equal to the amount set forth on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as the purchase price for the Shares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80" w:right="199" w:firstLine="1300"/>
        <w:spacing w:after="0" w:line="258" w:lineRule="auto"/>
        <w:tabs>
          <w:tab w:leader="none" w:pos="218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Investor</w:t>
      </w:r>
      <w:r>
        <w:rPr>
          <w:rFonts w:ascii="Times New Roman" w:cs="Times New Roman" w:eastAsia="Times New Roman" w:hAnsi="Times New Roman"/>
          <w:sz w:val="22"/>
          <w:szCs w:val="22"/>
          <w:color w:val="auto"/>
        </w:rPr>
        <w:t>. On or prior to the Closing Date, the Investor shall deliver or cause to be delivered to the Company the following:</w:t>
      </w:r>
    </w:p>
    <w:p>
      <w:pPr>
        <w:spacing w:after="0" w:line="158" w:lineRule="exact"/>
        <w:rPr>
          <w:rFonts w:ascii="Times New Roman" w:cs="Times New Roman" w:eastAsia="Times New Roman" w:hAnsi="Times New Roman"/>
          <w:sz w:val="22"/>
          <w:szCs w:val="22"/>
          <w:color w:val="auto"/>
        </w:rPr>
      </w:pPr>
    </w:p>
    <w:p>
      <w:pPr>
        <w:ind w:left="2840" w:hanging="712"/>
        <w:spacing w:after="0"/>
        <w:tabs>
          <w:tab w:leader="none" w:pos="284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the Investor;</w:t>
      </w:r>
    </w:p>
    <w:p>
      <w:pPr>
        <w:spacing w:after="0" w:line="206"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886"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by wire transfer to the Company pursuant to the wiring instructions set forth in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left="2980" w:hanging="852"/>
        <w:spacing w:after="0"/>
        <w:tabs>
          <w:tab w:leader="none" w:pos="29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Default Waiver Letter, duly executed by the Investor, if</w:t>
      </w:r>
    </w:p>
    <w:p>
      <w:pPr>
        <w:spacing w:after="0" w:line="14"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22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w:t>
      </w:r>
      <w:r>
        <w:rPr>
          <w:rFonts w:ascii="Times New Roman" w:cs="Times New Roman" w:eastAsia="Times New Roman" w:hAnsi="Times New Roman"/>
          <w:sz w:val="22"/>
          <w:szCs w:val="22"/>
          <w:color w:val="auto"/>
        </w:rPr>
        <w:t>. On or prior to the Closing Date, the Company shall deliver or cause to be delivered to the Investor:</w:t>
      </w:r>
    </w:p>
    <w:p>
      <w:pPr>
        <w:spacing w:after="0" w:line="158" w:lineRule="exact"/>
        <w:rPr>
          <w:rFonts w:ascii="Times New Roman" w:cs="Times New Roman" w:eastAsia="Times New Roman" w:hAnsi="Times New Roman"/>
          <w:sz w:val="22"/>
          <w:szCs w:val="22"/>
          <w:color w:val="auto"/>
        </w:rPr>
      </w:pPr>
    </w:p>
    <w:p>
      <w:pPr>
        <w:ind w:left="2860" w:hanging="732"/>
        <w:spacing w:after="0"/>
        <w:tabs>
          <w:tab w:leader="none" w:pos="286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an authorized officer of behalf of</w:t>
      </w:r>
    </w:p>
    <w:p>
      <w:pPr>
        <w:spacing w:after="0" w:line="14"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w:t>
      </w:r>
    </w:p>
    <w:p>
      <w:pPr>
        <w:spacing w:after="0" w:line="182" w:lineRule="exact"/>
        <w:rPr>
          <w:rFonts w:ascii="Times New Roman" w:cs="Times New Roman" w:eastAsia="Times New Roman" w:hAnsi="Times New Roman"/>
          <w:sz w:val="22"/>
          <w:szCs w:val="22"/>
          <w:color w:val="auto"/>
        </w:rPr>
      </w:pPr>
    </w:p>
    <w:p>
      <w:pPr>
        <w:ind w:left="2880" w:hanging="752"/>
        <w:spacing w:after="0"/>
        <w:tabs>
          <w:tab w:leader="none" w:pos="28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evidence of the issuance of the Shares;</w:t>
      </w:r>
    </w:p>
    <w:p>
      <w:pPr>
        <w:spacing w:after="0" w:line="206"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19"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evidence of the filing of the Certificate of Designations with respect to the Shares with the Secretary of State of the State of Delaware; and</w:t>
      </w:r>
    </w:p>
    <w:p>
      <w:pPr>
        <w:spacing w:after="0" w:line="158" w:lineRule="exact"/>
        <w:rPr>
          <w:rFonts w:ascii="Times New Roman" w:cs="Times New Roman" w:eastAsia="Times New Roman" w:hAnsi="Times New Roman"/>
          <w:sz w:val="22"/>
          <w:szCs w:val="22"/>
          <w:color w:val="auto"/>
        </w:rPr>
      </w:pPr>
    </w:p>
    <w:p>
      <w:pPr>
        <w:ind w:left="2920" w:hanging="792"/>
        <w:spacing w:after="0"/>
        <w:tabs>
          <w:tab w:leader="none" w:pos="292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of the Company certifying the Company’s:</w:t>
      </w:r>
    </w:p>
    <w:p>
      <w:pPr>
        <w:spacing w:after="0" w:line="14" w:lineRule="exact"/>
        <w:rPr>
          <w:rFonts w:ascii="Times New Roman" w:cs="Times New Roman" w:eastAsia="Times New Roman" w:hAnsi="Times New Roman"/>
          <w:sz w:val="22"/>
          <w:szCs w:val="22"/>
          <w:color w:val="auto"/>
        </w:rPr>
      </w:pPr>
    </w:p>
    <w:p>
      <w:pPr>
        <w:jc w:val="both"/>
        <w:ind w:left="840" w:right="199" w:hanging="8"/>
        <w:spacing w:after="0" w:line="235" w:lineRule="auto"/>
        <w:tabs>
          <w:tab w:leader="none" w:pos="11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standing certificate in its state of incorporation and (B) resolutions of the Board of Directors approving and authorizing the execution, delivery and performance of the Transaction Documents and the transactions contemplated thereby.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ind w:left="84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Closing Conditions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180" w:right="199" w:firstLine="1300"/>
        <w:spacing w:after="0" w:line="258" w:lineRule="auto"/>
        <w:tabs>
          <w:tab w:leader="none" w:pos="21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hereunder in connection with the Closing are subject to the following conditions being met:</w:t>
      </w:r>
    </w:p>
    <w:p>
      <w:pPr>
        <w:spacing w:after="0" w:line="158"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2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on the Closing Date of Investor’s representations and warranties contained herein;</w:t>
      </w:r>
    </w:p>
    <w:p>
      <w:pPr>
        <w:spacing w:after="0" w:line="158"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88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the Investor required to be performed at or prior to the Closing Date shall have been performed; and</w:t>
      </w:r>
    </w:p>
    <w:p>
      <w:pPr>
        <w:spacing w:after="0" w:line="158" w:lineRule="exact"/>
        <w:rPr>
          <w:rFonts w:ascii="Times New Roman" w:cs="Times New Roman" w:eastAsia="Times New Roman" w:hAnsi="Times New Roman"/>
          <w:sz w:val="22"/>
          <w:szCs w:val="22"/>
          <w:color w:val="auto"/>
        </w:rPr>
      </w:pPr>
    </w:p>
    <w:p>
      <w:pPr>
        <w:ind w:left="2900" w:hanging="772"/>
        <w:spacing w:after="0"/>
        <w:tabs>
          <w:tab w:leader="none" w:pos="290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delivery by the Investor of the items set forth in </w:t>
      </w:r>
      <w:r>
        <w:rPr>
          <w:rFonts w:ascii="Times New Roman" w:cs="Times New Roman" w:eastAsia="Times New Roman" w:hAnsi="Times New Roman"/>
          <w:sz w:val="21"/>
          <w:szCs w:val="21"/>
          <w:u w:val="single" w:color="auto"/>
          <w:color w:val="auto"/>
        </w:rPr>
        <w:t>Section 2.02(a)</w:t>
      </w:r>
    </w:p>
    <w:p>
      <w:pPr>
        <w:spacing w:after="0" w:line="25" w:lineRule="exact"/>
        <w:rPr>
          <w:rFonts w:ascii="Times New Roman" w:cs="Times New Roman" w:eastAsia="Times New Roman" w:hAnsi="Times New Roman"/>
          <w:sz w:val="21"/>
          <w:szCs w:val="21"/>
          <w:color w:val="auto"/>
        </w:rPr>
      </w:pPr>
    </w:p>
    <w:p>
      <w:pPr>
        <w:ind w:left="8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this Agreement.</w:t>
      </w:r>
    </w:p>
    <w:p>
      <w:pPr>
        <w:spacing w:after="0" w:line="182"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21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Investor hereunder in connection with the Closing are subject to the following conditions being met (it being understood that the Company may waive any of the conditions for any Closing hereafter):</w:t>
      </w:r>
    </w:p>
    <w:p>
      <w:pPr>
        <w:spacing w:after="0" w:line="173" w:lineRule="exact"/>
        <w:rPr>
          <w:rFonts w:ascii="Times New Roman" w:cs="Times New Roman" w:eastAsia="Times New Roman" w:hAnsi="Times New Roman"/>
          <w:sz w:val="22"/>
          <w:szCs w:val="22"/>
          <w:color w:val="auto"/>
        </w:rPr>
      </w:pPr>
    </w:p>
    <w:p>
      <w:pPr>
        <w:jc w:val="both"/>
        <w:ind w:left="840" w:right="199" w:firstLine="1288"/>
        <w:spacing w:after="0" w:line="238" w:lineRule="auto"/>
        <w:tabs>
          <w:tab w:leader="none" w:pos="285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6"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89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the Company required to be performed at or prior to the Closing Date shall have been performed; and</w:t>
      </w:r>
    </w:p>
    <w:p>
      <w:pPr>
        <w:spacing w:after="0" w:line="158" w:lineRule="exact"/>
        <w:rPr>
          <w:rFonts w:ascii="Times New Roman" w:cs="Times New Roman" w:eastAsia="Times New Roman" w:hAnsi="Times New Roman"/>
          <w:sz w:val="22"/>
          <w:szCs w:val="22"/>
          <w:color w:val="auto"/>
        </w:rPr>
      </w:pPr>
    </w:p>
    <w:p>
      <w:pPr>
        <w:ind w:left="840" w:right="199" w:firstLine="1288"/>
        <w:spacing w:after="0" w:line="258" w:lineRule="auto"/>
        <w:tabs>
          <w:tab w:leader="none" w:pos="295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delivery by the Company of the items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2.02(b)</w:t>
      </w:r>
      <w:r>
        <w:rPr>
          <w:rFonts w:ascii="Times New Roman" w:cs="Times New Roman" w:eastAsia="Times New Roman" w:hAnsi="Times New Roman"/>
          <w:sz w:val="22"/>
          <w:szCs w:val="22"/>
          <w:color w:val="auto"/>
        </w:rPr>
        <w:t xml:space="preserve"> of this Agreement.</w:t>
      </w:r>
    </w:p>
    <w:p>
      <w:pPr>
        <w:spacing w:after="0" w:line="158" w:lineRule="exact"/>
        <w:rPr>
          <w:rFonts w:ascii="Times New Roman" w:cs="Times New Roman" w:eastAsia="Times New Roman" w:hAnsi="Times New Roman"/>
          <w:sz w:val="22"/>
          <w:szCs w:val="22"/>
          <w:color w:val="auto"/>
        </w:rPr>
      </w:pPr>
    </w:p>
    <w:p>
      <w:pPr>
        <w:ind w:left="2180" w:hanging="700"/>
        <w:spacing w:after="0"/>
        <w:tabs>
          <w:tab w:leader="none" w:pos="2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wiring instructions for the Company are as follows:</w:t>
      </w:r>
    </w:p>
    <w:p>
      <w:pPr>
        <w:spacing w:after="0" w:line="20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Beneficiary Bank ABA</w:t>
      </w:r>
      <w:r>
        <w:rPr>
          <w:rFonts w:ascii="Times New Roman" w:cs="Times New Roman" w:eastAsia="Times New Roman" w:hAnsi="Times New Roman"/>
          <w:sz w:val="22"/>
          <w:szCs w:val="22"/>
          <w:color w:val="auto"/>
        </w:rPr>
        <w:t>: 011500120</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 xml:space="preserve">Beneficiary’s Bank: </w:t>
      </w:r>
      <w:r>
        <w:rPr>
          <w:rFonts w:ascii="Times New Roman" w:cs="Times New Roman" w:eastAsia="Times New Roman" w:hAnsi="Times New Roman"/>
          <w:sz w:val="22"/>
          <w:szCs w:val="22"/>
          <w:color w:val="auto"/>
        </w:rPr>
        <w:t>Citizens Bank</w:t>
      </w:r>
    </w:p>
    <w:p>
      <w:pPr>
        <w:ind w:left="212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Beneficiary Bank Address: </w:t>
      </w:r>
      <w:r>
        <w:rPr>
          <w:rFonts w:ascii="Times New Roman" w:cs="Times New Roman" w:eastAsia="Times New Roman" w:hAnsi="Times New Roman"/>
          <w:sz w:val="22"/>
          <w:szCs w:val="22"/>
          <w:color w:val="auto"/>
        </w:rPr>
        <w:t>28 State Street, Boston, MA 02109</w:t>
      </w:r>
    </w:p>
    <w:p>
      <w:pPr>
        <w:ind w:left="2120"/>
        <w:spacing w:after="0" w:line="231" w:lineRule="auto"/>
        <w:rPr>
          <w:sz w:val="20"/>
          <w:szCs w:val="20"/>
          <w:color w:val="auto"/>
        </w:rPr>
      </w:pPr>
      <w:r>
        <w:rPr>
          <w:rFonts w:ascii="Times New Roman" w:cs="Times New Roman" w:eastAsia="Times New Roman" w:hAnsi="Times New Roman"/>
          <w:sz w:val="22"/>
          <w:szCs w:val="22"/>
          <w:b w:val="1"/>
          <w:bCs w:val="1"/>
          <w:color w:val="auto"/>
        </w:rPr>
        <w:t>Beneficiary’s Account Number</w:t>
      </w:r>
      <w:r>
        <w:rPr>
          <w:rFonts w:ascii="Times New Roman" w:cs="Times New Roman" w:eastAsia="Times New Roman" w:hAnsi="Times New Roman"/>
          <w:sz w:val="22"/>
          <w:szCs w:val="22"/>
          <w:color w:val="auto"/>
        </w:rPr>
        <w:t>: 110 749 1255</w:t>
      </w:r>
    </w:p>
    <w:p>
      <w:pPr>
        <w:ind w:left="2120"/>
        <w:spacing w:after="0" w:line="230" w:lineRule="auto"/>
        <w:rPr>
          <w:sz w:val="20"/>
          <w:szCs w:val="20"/>
          <w:color w:val="auto"/>
        </w:rPr>
      </w:pPr>
      <w:r>
        <w:rPr>
          <w:rFonts w:ascii="Times New Roman" w:cs="Times New Roman" w:eastAsia="Times New Roman" w:hAnsi="Times New Roman"/>
          <w:sz w:val="22"/>
          <w:szCs w:val="22"/>
          <w:b w:val="1"/>
          <w:bCs w:val="1"/>
          <w:color w:val="auto"/>
        </w:rPr>
        <w:t>Beneficiary’s Name</w:t>
      </w:r>
      <w:r>
        <w:rPr>
          <w:rFonts w:ascii="Times New Roman" w:cs="Times New Roman" w:eastAsia="Times New Roman" w:hAnsi="Times New Roman"/>
          <w:sz w:val="22"/>
          <w:szCs w:val="22"/>
          <w:color w:val="auto"/>
        </w:rPr>
        <w:t>: AquaBounty Technologies,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Beneficiary’s Address</w:t>
      </w:r>
      <w:r>
        <w:rPr>
          <w:rFonts w:ascii="Times New Roman" w:cs="Times New Roman" w:eastAsia="Times New Roman" w:hAnsi="Times New Roman"/>
          <w:sz w:val="22"/>
          <w:szCs w:val="22"/>
          <w:color w:val="auto"/>
        </w:rPr>
        <w:t>: 233 Ayer Rd., Suite 4, Harvard, MA 01451</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hereby represents and warrants to Investor that, except as set forth in extant SEC Reports, the following representations are true and complete as of the date hereof.</w:t>
      </w:r>
    </w:p>
    <w:p>
      <w:pPr>
        <w:spacing w:after="0" w:line="173" w:lineRule="exact"/>
        <w:rPr>
          <w:sz w:val="20"/>
          <w:szCs w:val="20"/>
          <w:color w:val="auto"/>
        </w:rPr>
      </w:pPr>
    </w:p>
    <w:p>
      <w:pPr>
        <w:jc w:val="both"/>
        <w:ind w:left="180" w:right="199" w:firstLine="1300"/>
        <w:spacing w:after="0" w:line="282" w:lineRule="auto"/>
        <w:tabs>
          <w:tab w:leader="none" w:pos="218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 and Qualification</w:t>
      </w:r>
      <w:r>
        <w:rPr>
          <w:rFonts w:ascii="Times New Roman" w:cs="Times New Roman" w:eastAsia="Times New Roman" w:hAnsi="Times New Roman"/>
          <w:sz w:val="21"/>
          <w:szCs w:val="21"/>
          <w:color w:val="auto"/>
        </w:rPr>
        <w:t>. Each of the Company and its Subsidiaries has been duly incorporated and is validly existing as a corporation in good standing under the Laws</w:t>
      </w:r>
    </w:p>
    <w:p>
      <w:pPr>
        <w:spacing w:after="0" w:line="13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of the jurisdiction in which it is chartered or organized with full corporate power and authority to own or lease, as the case may be, and to operate its properties and conduct its business, and to execute and deliver this Agreement. Each of the Company and its Subsidiaries is duly qualified to do business as a foreign corporation and is in good standing under the Laws of each jurisdiction which requires such qualification. The Company has no Subsidiaries except for Aqua Bounty Farms Chile Limitada, an entity organized in Chile, AquaBounty Farms, Inc., a Delaware corporation, AquaBounty Farms Indiana LLC, a Delaware limited liability company, and AquaBounty Farms Ohio LLC, an Ohio limited liability company.</w:t>
      </w:r>
    </w:p>
    <w:p>
      <w:pPr>
        <w:spacing w:after="0" w:line="179" w:lineRule="exact"/>
        <w:rPr>
          <w:sz w:val="20"/>
          <w:szCs w:val="20"/>
          <w:color w:val="auto"/>
        </w:rPr>
      </w:pPr>
    </w:p>
    <w:p>
      <w:pPr>
        <w:ind w:left="2200" w:hanging="720"/>
        <w:spacing w:after="0"/>
        <w:tabs>
          <w:tab w:leader="none" w:pos="22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40" w:right="199" w:firstLine="1288"/>
        <w:spacing w:after="0" w:line="236" w:lineRule="auto"/>
        <w:tabs>
          <w:tab w:leader="none" w:pos="288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authorized, executed and delivered by the Company, and constitutes the legal, valid and binding obligation of the Company, enforceable against the Company in accordance with its terms, except (i) as limited by applicable bankruptcy, insolvency, reorganization or similar Laws relating to or affecting the enforcement of creditors’ rights generally and (ii) as limited by equitable principles generally.</w:t>
      </w:r>
    </w:p>
    <w:p>
      <w:pPr>
        <w:spacing w:after="0" w:line="181" w:lineRule="exact"/>
        <w:rPr>
          <w:rFonts w:ascii="Times New Roman" w:cs="Times New Roman" w:eastAsia="Times New Roman" w:hAnsi="Times New Roman"/>
          <w:sz w:val="22"/>
          <w:szCs w:val="22"/>
          <w:color w:val="auto"/>
        </w:rPr>
      </w:pPr>
    </w:p>
    <w:p>
      <w:pPr>
        <w:jc w:val="both"/>
        <w:ind w:left="840" w:right="199" w:firstLine="1288"/>
        <w:spacing w:after="0" w:line="238" w:lineRule="auto"/>
        <w:tabs>
          <w:tab w:leader="none" w:pos="2886"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duly and validly authorized and, when issued and delivered to and paid for by the Investor pursuant to this Agreement, will be validly issued, fully paid and nonassessable and not subject to any Liens. The issuance and sale of the Shares will not obligate the Company or any Subsidiary to issue shares of Common Stock, Preferred Stock or other securities to any Person.</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7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issuance of the Shares, nor the consummation of any of the other transactions herein contemplated nor the fulfillment of the terms hereof, will conflict with, result in a breach or violation of, or imposition of any Lien upon any property or assets of the Company or its Subsidiaries pursuant to, (i) the charter or by-laws of the Company or its Subsidiaries, (ii) the terms of any indenture, contract, lease, mortgage, deed of trust, note agreement, loan agreement or other agreement, obligation, condition, covenant or instrument to which the Company or its Subsidiaries are a party or bound or to which its property is subject, or</w:t>
      </w:r>
    </w:p>
    <w:p>
      <w:pPr>
        <w:spacing w:after="0" w:line="5" w:lineRule="exact"/>
        <w:rPr>
          <w:rFonts w:ascii="Times New Roman" w:cs="Times New Roman" w:eastAsia="Times New Roman" w:hAnsi="Times New Roman"/>
          <w:sz w:val="22"/>
          <w:szCs w:val="22"/>
          <w:color w:val="auto"/>
        </w:rPr>
      </w:pPr>
    </w:p>
    <w:p>
      <w:pPr>
        <w:jc w:val="both"/>
        <w:ind w:left="180" w:right="199" w:firstLine="4"/>
        <w:spacing w:after="0" w:line="235" w:lineRule="auto"/>
        <w:tabs>
          <w:tab w:leader="none" w:pos="62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Law applicable to the Company or its Subsidiaries of any court, regulatory body, administrative agency, governmental body, arbitrator or other authority having jurisdiction over the Company, its Subsidiaries or any of their properties.</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2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Filings, Consents and Approvals</w:t>
      </w:r>
      <w:r>
        <w:rPr>
          <w:rFonts w:ascii="Times New Roman" w:cs="Times New Roman" w:eastAsia="Times New Roman" w:hAnsi="Times New Roman"/>
          <w:sz w:val="22"/>
          <w:szCs w:val="22"/>
          <w:color w:val="auto"/>
        </w:rPr>
        <w:t>. No consent, approval, authorization, filing with or order of any court or governmental agency or body is required in connection with the transactions contemplated herein, except for any post-Closing filings as may be required under the Securities Act or the blue sky Laws of any jurisdiction in connection with the purchase of the Shares by the Investor, or compliance with any required filings pursuant to the Exchange Act or the rules of the SEC or Nasdaq.</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0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As of the date hereof, the authorized capital stock of the Company consists of 80,000,000 shares of capital stock, of which 75,000,000 is designated as Common Stock, $0.001 par value per share, and 5,000,000 is designated as Preferred Stock, $0.01 par value per share. As of March 31, 2026: (i) 5,147,204 shares of Common Stock were issued and outstanding; (ii) 37,594 shares of Common Stock were issuable (and such number was</w:t>
      </w:r>
    </w:p>
    <w:p>
      <w:pPr>
        <w:spacing w:after="0" w:line="17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0" w:name="page51"/>
    <w:bookmarkEnd w:id="50"/>
    <w:p>
      <w:pPr>
        <w:jc w:val="both"/>
        <w:ind w:left="180" w:right="199"/>
        <w:spacing w:after="0" w:line="232" w:lineRule="auto"/>
        <w:rPr>
          <w:sz w:val="20"/>
          <w:szCs w:val="20"/>
          <w:color w:val="auto"/>
        </w:rPr>
      </w:pPr>
      <w:r>
        <w:rPr>
          <w:rFonts w:ascii="Times New Roman" w:cs="Times New Roman" w:eastAsia="Times New Roman" w:hAnsi="Times New Roman"/>
          <w:sz w:val="22"/>
          <w:szCs w:val="22"/>
          <w:color w:val="auto"/>
        </w:rPr>
        <w:t>reserved for issuance) upon exercise or vesting of Common Stock-based awards outstanding as of such date, (iii) prefunded warrants to purchase 67,706 shares of Common Stock were outstanding and (iv) no shares of Preferred Stock were outstanding. The outstanding shares of Common Stock have been duly and validly authorized and issued and are fully paid and nonassessable. No Person has any right of first refusal, preemptive right, right of participation, or any similar right to participate in the transactions contemplated by the Transaction Documents, and the issuance and sale of the Shares will not obligate the Company or any Subsidiary to issue Common Stock, Preferred Stock or other securities to any Person and will not result in a right of any holder of Company securities to adjust the exercise, conversion, exchange or reset price under any of such securities. Except as set forth above and except for any shares of Common Stock that are issuable upon exercise or vesting of Common Stock-based awards granted pursuant to the Company’s 2006 or 2016 equity incentive plans (collectively, the “</w:t>
      </w:r>
      <w:r>
        <w:rPr>
          <w:rFonts w:ascii="Times New Roman" w:cs="Times New Roman" w:eastAsia="Times New Roman" w:hAnsi="Times New Roman"/>
          <w:sz w:val="22"/>
          <w:szCs w:val="22"/>
          <w:b w:val="1"/>
          <w:bCs w:val="1"/>
          <w:color w:val="auto"/>
        </w:rPr>
        <w:t>Equity Incentive Plans</w:t>
      </w:r>
      <w:r>
        <w:rPr>
          <w:rFonts w:ascii="Times New Roman" w:cs="Times New Roman" w:eastAsia="Times New Roman" w:hAnsi="Times New Roman"/>
          <w:sz w:val="22"/>
          <w:szCs w:val="22"/>
          <w:color w:val="auto"/>
        </w:rPr>
        <w:t>”) since December 31, 2025, no options, warrants or other rights to purchase, agreements or other obligations to issue, or rights to convert any obligations into or exchange any securities for, shares of capital stock of or ownership interests in the Company are outstanding. There are no stockholder agreements, voting agreements or other similar agreements with respect to the Company’s capital stock to which the Company is a party or, to the knowledge of the Company, between or among any of the Company’s stockholders</w:t>
      </w:r>
    </w:p>
    <w:p>
      <w:pPr>
        <w:spacing w:after="0" w:line="189" w:lineRule="exact"/>
        <w:rPr>
          <w:sz w:val="20"/>
          <w:szCs w:val="20"/>
          <w:color w:val="auto"/>
        </w:rPr>
      </w:pPr>
    </w:p>
    <w:p>
      <w:pPr>
        <w:ind w:left="2200" w:hanging="720"/>
        <w:spacing w:after="0"/>
        <w:tabs>
          <w:tab w:leader="none" w:pos="22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Reports; Financial Statements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40" w:right="199" w:firstLine="1288"/>
        <w:spacing w:after="0" w:line="244" w:lineRule="auto"/>
        <w:tabs>
          <w:tab w:leader="none" w:pos="2853"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filed all SEC Reports since January 1, 2024 on a timely basis or has received a valid extension of such time of filing and has filed any such SEC Reports before the expiration of any such extension.</w:t>
      </w:r>
    </w:p>
    <w:p>
      <w:pPr>
        <w:spacing w:after="0" w:line="173" w:lineRule="exact"/>
        <w:rPr>
          <w:rFonts w:ascii="Times New Roman" w:cs="Times New Roman" w:eastAsia="Times New Roman" w:hAnsi="Times New Roman"/>
          <w:sz w:val="22"/>
          <w:szCs w:val="22"/>
          <w:color w:val="auto"/>
        </w:rPr>
      </w:pPr>
    </w:p>
    <w:p>
      <w:pPr>
        <w:jc w:val="both"/>
        <w:ind w:left="840" w:right="199" w:firstLine="1288"/>
        <w:spacing w:after="0" w:line="236" w:lineRule="auto"/>
        <w:tabs>
          <w:tab w:leader="none" w:pos="29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1" w:lineRule="exact"/>
        <w:rPr>
          <w:rFonts w:ascii="Times New Roman" w:cs="Times New Roman" w:eastAsia="Times New Roman" w:hAnsi="Times New Roman"/>
          <w:sz w:val="22"/>
          <w:szCs w:val="22"/>
          <w:color w:val="auto"/>
        </w:rPr>
      </w:pPr>
    </w:p>
    <w:p>
      <w:pPr>
        <w:jc w:val="both"/>
        <w:ind w:left="840" w:right="199" w:firstLine="1288"/>
        <w:spacing w:after="0" w:line="234" w:lineRule="auto"/>
        <w:tabs>
          <w:tab w:leader="none" w:pos="295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9" w:lineRule="exact"/>
        <w:rPr>
          <w:rFonts w:ascii="Times New Roman" w:cs="Times New Roman" w:eastAsia="Times New Roman" w:hAnsi="Times New Roman"/>
          <w:sz w:val="22"/>
          <w:szCs w:val="22"/>
          <w:color w:val="auto"/>
        </w:rPr>
      </w:pPr>
    </w:p>
    <w:p>
      <w:pPr>
        <w:jc w:val="both"/>
        <w:ind w:left="840" w:right="199" w:firstLine="1288"/>
        <w:spacing w:after="0" w:line="255" w:lineRule="auto"/>
        <w:tabs>
          <w:tab w:leader="none" w:pos="2893"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maintains a system of internal controls, including, but not limited to, disclosure controls and procedures, internal controls over accounting matters and financial reporting, and legal and regulatory compliance controls (collectively, “</w:t>
      </w:r>
      <w:r>
        <w:rPr>
          <w:rFonts w:ascii="Times New Roman" w:cs="Times New Roman" w:eastAsia="Times New Roman" w:hAnsi="Times New Roman"/>
          <w:sz w:val="21"/>
          <w:szCs w:val="21"/>
          <w:b w:val="1"/>
          <w:bCs w:val="1"/>
          <w:color w:val="auto"/>
        </w:rPr>
        <w:t>Internal Controls</w:t>
      </w:r>
      <w:r>
        <w:rPr>
          <w:rFonts w:ascii="Times New Roman" w:cs="Times New Roman" w:eastAsia="Times New Roman" w:hAnsi="Times New Roman"/>
          <w:sz w:val="21"/>
          <w:szCs w:val="21"/>
          <w:color w:val="auto"/>
        </w:rPr>
        <w:t>”) that comply with applicable securities laws and are sufficient to</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1" w:name="page52"/>
    <w:bookmarkEnd w:id="51"/>
    <w:p>
      <w:pPr>
        <w:jc w:val="both"/>
        <w:ind w:left="840" w:right="199"/>
        <w:spacing w:after="0" w:line="233" w:lineRule="auto"/>
        <w:rPr>
          <w:sz w:val="20"/>
          <w:szCs w:val="20"/>
          <w:color w:val="auto"/>
        </w:rPr>
      </w:pPr>
      <w:r>
        <w:rPr>
          <w:rFonts w:ascii="Times New Roman" w:cs="Times New Roman" w:eastAsia="Times New Roman" w:hAnsi="Times New Roman"/>
          <w:sz w:val="22"/>
          <w:szCs w:val="22"/>
          <w:color w:val="auto"/>
        </w:rPr>
        <w:t>provide reasonable assurances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SEC Reports or as reported to the Audit Committee, the Company has not publicly disclosed (x) a significant deficiency, material weakness, change in Internal Controls or fraud involving management or other employees who have a significant role in Internal Controls, (y) any violation of, or failure to comply with, applicable securities laws, or (z) any matter which, if determined adversely, would have a Material Adverse Effect.</w:t>
      </w:r>
    </w:p>
    <w:p>
      <w:pPr>
        <w:spacing w:after="0" w:line="185" w:lineRule="exact"/>
        <w:rPr>
          <w:sz w:val="20"/>
          <w:szCs w:val="20"/>
          <w:color w:val="auto"/>
        </w:rPr>
      </w:pPr>
    </w:p>
    <w:p>
      <w:pPr>
        <w:jc w:val="both"/>
        <w:ind w:left="180" w:right="199" w:firstLine="1300"/>
        <w:spacing w:after="0" w:line="245" w:lineRule="auto"/>
        <w:tabs>
          <w:tab w:leader="none" w:pos="2227"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Undisclosed Liabilities</w:t>
      </w:r>
      <w:r>
        <w:rPr>
          <w:rFonts w:ascii="Times New Roman" w:cs="Times New Roman" w:eastAsia="Times New Roman" w:hAnsi="Times New Roman"/>
          <w:sz w:val="21"/>
          <w:szCs w:val="21"/>
          <w:color w:val="auto"/>
        </w:rPr>
        <w:t>. The Company has no liabilities or obligations (accrued, absolute, contingent or otherwise), other than liabilities or obligations (i) reflected on the most recent balance sheet of the Company included in the SEC Reports, (ii) incurred in the ordinary course of business since the date of the most recent balance sheet of the Company included in the SEC Reports, (iii) incurred in connection with this Agreement, (iv) incurred pursuant to contracts binding on the Company (other than those resulting from a breach thereof) or</w:t>
      </w:r>
    </w:p>
    <w:p>
      <w:pPr>
        <w:spacing w:after="0" w:line="2" w:lineRule="exact"/>
        <w:rPr>
          <w:rFonts w:ascii="Times New Roman" w:cs="Times New Roman" w:eastAsia="Times New Roman" w:hAnsi="Times New Roman"/>
          <w:sz w:val="21"/>
          <w:szCs w:val="21"/>
          <w:color w:val="auto"/>
        </w:rPr>
      </w:pPr>
    </w:p>
    <w:p>
      <w:pPr>
        <w:ind w:left="180" w:right="199" w:firstLine="4"/>
        <w:spacing w:after="0" w:line="237" w:lineRule="auto"/>
        <w:tabs>
          <w:tab w:leader="none" w:pos="5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would not, individually or in the aggregate, reasonably be expected to result in a Material Adverse Effect or prevent the consummation of the transactions contemplated hereby.</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32" w:lineRule="auto"/>
        <w:tabs>
          <w:tab w:leader="none" w:pos="218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Since the date of the most recent balance sheet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the Equity Incentive Plans. The Company does not have pending before the SEC any request for confidential treatment of information. Except for the transactions contemplated by this Agreement, including the issuance of the Shares, and any other transactions or Share issuances contemplated as of the Closing Date, no event, liability, fact, circumstance, occurrence or development has occurred or exists with respect to the Company or its Significant Subsidiaries (as such term is defined in Rule 1-02(w) of Regulation S-X)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Business Day prior to the date that this representation is made.</w:t>
      </w:r>
    </w:p>
    <w:p>
      <w:pPr>
        <w:spacing w:after="0" w:line="185"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20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Except as disclosed in the SEC Reports, neither the Company nor any of its directors or officers is engaged in any litigation, administrative, mediation or arbitration proceedings or other proceedings or hearings before any Governmental Entity and is not the subject of any investigation, inquiry or enforcement proceedings by any Governmental</w:t>
      </w:r>
    </w:p>
    <w:p>
      <w:pPr>
        <w:spacing w:after="0" w:line="18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jc w:val="both"/>
        <w:ind w:left="180" w:right="199"/>
        <w:spacing w:after="0"/>
        <w:rPr>
          <w:sz w:val="20"/>
          <w:szCs w:val="20"/>
          <w:color w:val="auto"/>
        </w:rPr>
      </w:pPr>
      <w:r>
        <w:rPr>
          <w:rFonts w:ascii="Times New Roman" w:cs="Times New Roman" w:eastAsia="Times New Roman" w:hAnsi="Times New Roman"/>
          <w:sz w:val="22"/>
          <w:szCs w:val="22"/>
          <w:color w:val="auto"/>
        </w:rPr>
        <w:t>Entity that could be reasonably expected to have a Material Adverse Effect. No such proceeding, investigation or inquiry is pending or, to the Company’s actual knowledge, threatened against the Company, and, to the Company’s actual knowledge, there are no circumstances likely to give rise to any such proceedings.</w:t>
      </w:r>
    </w:p>
    <w:p>
      <w:pPr>
        <w:spacing w:after="0" w:line="177" w:lineRule="exact"/>
        <w:rPr>
          <w:sz w:val="20"/>
          <w:szCs w:val="20"/>
          <w:color w:val="auto"/>
        </w:rPr>
      </w:pPr>
    </w:p>
    <w:p>
      <w:pPr>
        <w:jc w:val="both"/>
        <w:ind w:left="180" w:right="199" w:firstLine="1300"/>
        <w:spacing w:after="0" w:line="246" w:lineRule="auto"/>
        <w:tabs>
          <w:tab w:leader="none" w:pos="220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Matters</w:t>
      </w:r>
      <w:r>
        <w:rPr>
          <w:rFonts w:ascii="Times New Roman" w:cs="Times New Roman" w:eastAsia="Times New Roman" w:hAnsi="Times New Roman"/>
          <w:sz w:val="21"/>
          <w:szCs w:val="21"/>
          <w:color w:val="auto"/>
        </w:rPr>
        <w:t>. To the Company’s actual knowledge,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0" w:lineRule="exact"/>
        <w:rPr>
          <w:rFonts w:ascii="Times New Roman" w:cs="Times New Roman" w:eastAsia="Times New Roman" w:hAnsi="Times New Roman"/>
          <w:sz w:val="21"/>
          <w:szCs w:val="21"/>
          <w:color w:val="auto"/>
        </w:rPr>
      </w:pPr>
    </w:p>
    <w:p>
      <w:pPr>
        <w:jc w:val="both"/>
        <w:ind w:left="180" w:right="199" w:firstLine="1300"/>
        <w:spacing w:after="0" w:line="234" w:lineRule="auto"/>
        <w:tabs>
          <w:tab w:leader="none" w:pos="222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except in each case as could not have or reasonably be expected to result in a Material Adverse Effect.</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20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Permits</w:t>
      </w:r>
      <w:r>
        <w:rPr>
          <w:rFonts w:ascii="Times New Roman" w:cs="Times New Roman" w:eastAsia="Times New Roman" w:hAnsi="Times New Roman"/>
          <w:sz w:val="22"/>
          <w:szCs w:val="22"/>
          <w:color w:val="auto"/>
        </w:rPr>
        <w:t>. The Company possesses all certificates, authorizations and permits issued by the appropriate federal, state, local or foreign regulatory authorities necessary to conduct its business, except where the failure to possess such permits could not reasonably be expected to result in a Material Adverse Effect.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28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Assets</w:t>
      </w:r>
      <w:r>
        <w:rPr>
          <w:rFonts w:ascii="Times New Roman" w:cs="Times New Roman" w:eastAsia="Times New Roman" w:hAnsi="Times New Roman"/>
          <w:sz w:val="22"/>
          <w:szCs w:val="22"/>
          <w:color w:val="auto"/>
        </w:rPr>
        <w:t>. The Company and its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7"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and Maintenance Requirements</w:t>
      </w:r>
      <w:r>
        <w:rPr>
          <w:rFonts w:ascii="Times New Roman" w:cs="Times New Roman" w:eastAsia="Times New Roman" w:hAnsi="Times New Roman"/>
          <w:sz w:val="22"/>
          <w:szCs w:val="22"/>
          <w:color w:val="auto"/>
        </w:rPr>
        <w:t>. The Common Stock is registered pursuant to Section 12(b) or 12(g) of the Exchange Act, and the Company has taken no action designed to, or which to its knowledge is likely to have the effect of, terminating the registration</w:t>
      </w:r>
    </w:p>
    <w:p>
      <w:pPr>
        <w:spacing w:after="0" w:line="17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3" w:name="page54"/>
    <w:bookmarkEnd w:id="53"/>
    <w:p>
      <w:pPr>
        <w:jc w:val="both"/>
        <w:ind w:left="180" w:right="199"/>
        <w:spacing w:after="0" w:line="238" w:lineRule="auto"/>
        <w:rPr>
          <w:sz w:val="20"/>
          <w:szCs w:val="20"/>
          <w:color w:val="auto"/>
        </w:rPr>
      </w:pPr>
      <w:r>
        <w:rPr>
          <w:rFonts w:ascii="Times New Roman" w:cs="Times New Roman" w:eastAsia="Times New Roman" w:hAnsi="Times New Roman"/>
          <w:sz w:val="22"/>
          <w:szCs w:val="22"/>
          <w:color w:val="auto"/>
        </w:rPr>
        <w:t>of the Common Stock under the Exchange Act nor has the Company received any notification that the SEC is contemplating terminating such registration. Except as disclosed in the SEC Reports, the Company has not, in the 12 months preceding the date hereof, received notice from Nasdaq to the effect that the Company is not in compliance with the listing or maintenance requirements of Nasdaq.</w:t>
      </w:r>
    </w:p>
    <w:p>
      <w:pPr>
        <w:spacing w:after="0" w:line="177" w:lineRule="exact"/>
        <w:rPr>
          <w:sz w:val="20"/>
          <w:szCs w:val="20"/>
          <w:color w:val="auto"/>
        </w:rPr>
      </w:pPr>
    </w:p>
    <w:p>
      <w:pPr>
        <w:jc w:val="both"/>
        <w:ind w:left="180" w:right="199" w:firstLine="1300"/>
        <w:spacing w:after="0" w:line="246" w:lineRule="auto"/>
        <w:tabs>
          <w:tab w:leader="none" w:pos="2187"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(i) The Company has, or has rights to use, all patents, patent applications, trademarks, trademark applications, service marks, trade names, trade secrets, inventions, copyrights, licenses and other intellectual property rights and similar rights as necessary or material for use in connection with its business and which the failure to so have could reasonably be expected to have a Material Adverse Effect (collectively, the “</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left="180" w:right="199" w:firstLine="4"/>
        <w:spacing w:after="0" w:line="230" w:lineRule="auto"/>
        <w:tabs>
          <w:tab w:leader="none" w:pos="53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a notice (written or otherwise) that any of the Intellectual Property Rights violates or infringes upon the intellectual property rights of any other Person; and</w:t>
      </w:r>
    </w:p>
    <w:p>
      <w:pPr>
        <w:spacing w:after="0" w:line="1" w:lineRule="exact"/>
        <w:rPr>
          <w:rFonts w:ascii="Times New Roman" w:cs="Times New Roman" w:eastAsia="Times New Roman" w:hAnsi="Times New Roman"/>
          <w:sz w:val="22"/>
          <w:szCs w:val="22"/>
          <w:color w:val="auto"/>
        </w:rPr>
      </w:pPr>
    </w:p>
    <w:p>
      <w:pPr>
        <w:jc w:val="both"/>
        <w:ind w:left="180" w:right="199" w:firstLine="4"/>
        <w:spacing w:after="0" w:line="234" w:lineRule="auto"/>
        <w:tabs>
          <w:tab w:leader="none" w:pos="59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Rights are enforceable by the Company, and there is no existing infringement by any other Person of any of the Intellectual Property Rights, except where the failure to be so enforceable or for such infringements as would not, individually or in the aggregate, reasonably be expected to have a Material Adverse Effect.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43" w:lineRule="auto"/>
        <w:tabs>
          <w:tab w:leader="none" w:pos="226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The Company and its Subsidiaries (i) are in compliance with all applicable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1"/>
          <w:szCs w:val="21"/>
          <w:b w:val="1"/>
          <w:bCs w:val="1"/>
          <w:color w:val="auto"/>
        </w:rPr>
        <w:t>Hazardous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Materials</w:t>
      </w:r>
      <w:r>
        <w:rPr>
          <w:rFonts w:ascii="Times New Roman" w:cs="Times New Roman" w:eastAsia="Times New Roman" w:hAnsi="Times New Roman"/>
          <w:sz w:val="21"/>
          <w:szCs w:val="21"/>
          <w:color w:val="auto"/>
        </w:rPr>
        <w:t>”) into the environment, or otherwise relating to the manufacture, processing,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distribution, use, treatment, storage, disposal, transport or handling of Hazardous Materials, as well as all authorizations, codes, decrees, demands, or demand letters, injunctions, judgments, licenses, notices or notice letters, orders, permits or plans issued, entered, promulgated or approved thereunder (“</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(ii) have received all permits licenses or other approvals required of them under applicable Environmental Laws to conduct their respective businesses; and</w:t>
      </w:r>
    </w:p>
    <w:p>
      <w:pPr>
        <w:spacing w:after="0" w:line="7" w:lineRule="exact"/>
        <w:rPr>
          <w:rFonts w:ascii="Times New Roman" w:cs="Times New Roman" w:eastAsia="Times New Roman" w:hAnsi="Times New Roman"/>
          <w:sz w:val="21"/>
          <w:szCs w:val="21"/>
          <w:color w:val="auto"/>
        </w:rPr>
      </w:pPr>
    </w:p>
    <w:p>
      <w:pPr>
        <w:jc w:val="both"/>
        <w:ind w:left="180" w:right="199" w:firstLine="4"/>
        <w:spacing w:after="0" w:line="235" w:lineRule="auto"/>
        <w:tabs>
          <w:tab w:leader="none" w:pos="56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0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Transactions with Officers, Directors and Employees</w:t>
      </w:r>
      <w:r>
        <w:rPr>
          <w:rFonts w:ascii="Times New Roman" w:cs="Times New Roman" w:eastAsia="Times New Roman" w:hAnsi="Times New Roman"/>
          <w:sz w:val="21"/>
          <w:szCs w:val="21"/>
          <w:color w:val="auto"/>
        </w:rPr>
        <w:t>. Except as disclosed in the SEC Reports, since January 1, 2024, (i) none of the officers or directors of the Company or any Subsidiary has been and (ii) to the Company’s actual knowledge,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Company’s actual knowledge,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the Equity Incentive Plans.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4" w:name="page55"/>
    <w:bookmarkEnd w:id="54"/>
    <w:p>
      <w:pPr>
        <w:jc w:val="both"/>
        <w:ind w:left="180" w:right="199" w:firstLine="1300"/>
        <w:spacing w:after="0" w:line="235" w:lineRule="auto"/>
        <w:tabs>
          <w:tab w:leader="none" w:pos="220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 No General Solicitation</w:t>
      </w:r>
      <w:r>
        <w:rPr>
          <w:rFonts w:ascii="Times New Roman" w:cs="Times New Roman" w:eastAsia="Times New Roman" w:hAnsi="Times New Roman"/>
          <w:sz w:val="22"/>
          <w:szCs w:val="22"/>
          <w:color w:val="auto"/>
        </w:rPr>
        <w:t>. Assuming the accuracy of the Investor’s representations and warranties set forth in Section 3.02, no registration under the Securities Act is required for the offer and sale of the Shares by the Company to the Investor as contemplated by this Agreement. Neither the Company nor any Person acting on behalf of the Company has offered or sold any of the Shares offered to the Investor or any shares of Preferred Stock offered to any of the other Investors by any form of general solicitation or general advertising. The Company has offered the Shares for sale only to the Investor and certain other “accredited investors” within the meaning of Rule 501 under the Securities Act.</w:t>
      </w:r>
    </w:p>
    <w:p>
      <w:pPr>
        <w:spacing w:after="0" w:line="178"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0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 an “investment company” subject to registration under the Investment Company Act of 1940, as amended.</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27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Integrated Offering</w:t>
      </w:r>
      <w:r>
        <w:rPr>
          <w:rFonts w:ascii="Times New Roman" w:cs="Times New Roman" w:eastAsia="Times New Roman" w:hAnsi="Times New Roman"/>
          <w:sz w:val="22"/>
          <w:szCs w:val="22"/>
          <w:color w:val="auto"/>
        </w:rPr>
        <w:t>. Assuming the accuracy of the Investor’s representations and warranties set forth in Section 3.02,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Nasdaq.</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33" w:lineRule="auto"/>
        <w:tabs>
          <w:tab w:leader="none" w:pos="218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Based on the consolidated financial condition of the Company as of the Closing Date, after giving effect to the receipt by the Company of the proceeds from the sale of the other shares of Preferred Stock of the Company to other Investors as of the Closing Date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47" w:lineRule="auto"/>
        <w:tabs>
          <w:tab w:leader="none" w:pos="22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Status</w:t>
      </w:r>
      <w:r>
        <w:rPr>
          <w:rFonts w:ascii="Times New Roman" w:cs="Times New Roman" w:eastAsia="Times New Roman" w:hAnsi="Times New Roman"/>
          <w:sz w:val="21"/>
          <w:szCs w:val="21"/>
          <w:color w:val="auto"/>
        </w:rPr>
        <w:t>. The Company has (i) paid all material federal, state, local and foreign taxes required to be paid through the date hereof, except (A) any such taxes being contested in good faith and for which adequate reserves have been established in accordance with applicable accounting requirements or (B) if a failure to pay such taxes would not reasonably be expected to have a Material Adverse Effect, and (ii) filed all material tax returns required to be filed through the date hereof, in each case except for (x) those returns for which a request for extension has been filed or (y) any failure to file that would not reasonably be expected to have a Material Adverse Effect; and there is no tax deficiency that has been asserted against the Company, except where</w:t>
      </w:r>
    </w:p>
    <w:p>
      <w:pPr>
        <w:spacing w:after="0" w:line="1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ind w:left="180" w:right="199"/>
        <w:spacing w:after="0" w:line="259" w:lineRule="auto"/>
        <w:rPr>
          <w:sz w:val="20"/>
          <w:szCs w:val="20"/>
          <w:color w:val="auto"/>
        </w:rPr>
      </w:pPr>
      <w:r>
        <w:rPr>
          <w:rFonts w:ascii="Times New Roman" w:cs="Times New Roman" w:eastAsia="Times New Roman" w:hAnsi="Times New Roman"/>
          <w:sz w:val="22"/>
          <w:szCs w:val="22"/>
          <w:color w:val="auto"/>
        </w:rPr>
        <w:t>such deficiencies, individually or in the aggregate, would not reasonably be expected to have a Material Adverse Effect.</w:t>
      </w:r>
    </w:p>
    <w:p>
      <w:pPr>
        <w:spacing w:after="0" w:line="157" w:lineRule="exact"/>
        <w:rPr>
          <w:sz w:val="20"/>
          <w:szCs w:val="20"/>
          <w:color w:val="auto"/>
        </w:rPr>
      </w:pPr>
    </w:p>
    <w:p>
      <w:pPr>
        <w:jc w:val="both"/>
        <w:ind w:left="180" w:right="199" w:firstLine="1300"/>
        <w:spacing w:after="0" w:line="234" w:lineRule="auto"/>
        <w:tabs>
          <w:tab w:leader="none" w:pos="223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are insured by insurers of recognized financial responsibility against such losses and risks and in such amounts as the Company reasonably believes to be prudent and customary in the businesses in which the Company and the Subsidiaries are engaged, including, but not limited to, directors and officers insurance coverage. The Company has no reason to believe that it will not be able to renew the Company’s and its Subsidiaries’ existing insurance coverage as and when such coverage expires or to obtain similar coverage from similar insurers as may be necessary to continue its business at a cost that would not materially and adversely affect the condition, financial or otherwise, business or operations of the Company, taken as a whole.</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Disqualification</w:t>
      </w:r>
      <w:r>
        <w:rPr>
          <w:rFonts w:ascii="Times New Roman" w:cs="Times New Roman" w:eastAsia="Times New Roman" w:hAnsi="Times New Roman"/>
          <w:sz w:val="22"/>
          <w:szCs w:val="22"/>
          <w:color w:val="auto"/>
        </w:rPr>
        <w:t>. None of the Company, any of its predecessors, any affiliated issuer, any director or executive officer, or any officer of the Company participating in the transactions hereunder is a Person of the type described in Rule 506(d) of Regulation D under the Securities Act that would disqualify the Company from engaging in a transaction pursuant to Rule 506 of Regulation D under the Securities Act.</w:t>
      </w:r>
    </w:p>
    <w:p>
      <w:pPr>
        <w:spacing w:after="0" w:line="176" w:lineRule="exact"/>
        <w:rPr>
          <w:rFonts w:ascii="Times New Roman" w:cs="Times New Roman" w:eastAsia="Times New Roman" w:hAnsi="Times New Roman"/>
          <w:sz w:val="22"/>
          <w:szCs w:val="22"/>
          <w:color w:val="auto"/>
        </w:rPr>
      </w:pPr>
    </w:p>
    <w:p>
      <w:pPr>
        <w:jc w:val="both"/>
        <w:ind w:left="180" w:right="199" w:firstLine="1300"/>
        <w:spacing w:after="0" w:line="234" w:lineRule="auto"/>
        <w:tabs>
          <w:tab w:leader="none" w:pos="218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w:t>
      </w:r>
      <w:r>
        <w:rPr>
          <w:rFonts w:ascii="Times New Roman" w:cs="Times New Roman" w:eastAsia="Times New Roman" w:hAnsi="Times New Roman"/>
          <w:sz w:val="22"/>
          <w:szCs w:val="22"/>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Foreign Corrupt Practices Act of 1977, as amended.</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9" w:lineRule="auto"/>
        <w:tabs>
          <w:tab w:leader="none" w:pos="220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of Foreign Assets Control</w:t>
      </w:r>
      <w:r>
        <w:rPr>
          <w:rFonts w:ascii="Times New Roman" w:cs="Times New Roman" w:eastAsia="Times New Roman" w:hAnsi="Times New Roman"/>
          <w:sz w:val="22"/>
          <w:szCs w:val="22"/>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180" w:lineRule="exact"/>
        <w:rPr>
          <w:sz w:val="20"/>
          <w:szCs w:val="20"/>
          <w:color w:val="auto"/>
        </w:rPr>
      </w:pPr>
    </w:p>
    <w:p>
      <w:pPr>
        <w:jc w:val="both"/>
        <w:ind w:left="180" w:right="199" w:firstLine="1300"/>
        <w:spacing w:after="0" w:line="239" w:lineRule="auto"/>
        <w:tabs>
          <w:tab w:leader="none" w:pos="22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Real Property Holding Corporation</w:t>
      </w:r>
      <w:r>
        <w:rPr>
          <w:rFonts w:ascii="Times New Roman" w:cs="Times New Roman" w:eastAsia="Times New Roman" w:hAnsi="Times New Roman"/>
          <w:sz w:val="22"/>
          <w:szCs w:val="22"/>
          <w:color w:val="auto"/>
        </w:rPr>
        <w:t>. The Company is not and has never been a U.S. real property holding corporation within the meaning of Section 897 of the Internal Revenue Code of 1986, as amended, and the Company shall so certify upon Investor’s request.</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8" w:lineRule="auto"/>
        <w:tabs>
          <w:tab w:leader="none" w:pos="221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Bank Holding Company Act</w:t>
      </w:r>
      <w:r>
        <w:rPr>
          <w:rFonts w:ascii="Times New Roman" w:cs="Times New Roman" w:eastAsia="Times New Roman" w:hAnsi="Times New Roman"/>
          <w:sz w:val="21"/>
          <w:szCs w:val="21"/>
          <w:color w:val="auto"/>
        </w:rPr>
        <w:t>. Neither the Company nor any of its Affiliates is subject to the Bank Holding Company Act of 1956, as amended (“</w:t>
      </w:r>
      <w:r>
        <w:rPr>
          <w:rFonts w:ascii="Times New Roman" w:cs="Times New Roman" w:eastAsia="Times New Roman" w:hAnsi="Times New Roman"/>
          <w:sz w:val="21"/>
          <w:szCs w:val="21"/>
          <w:b w:val="1"/>
          <w:bCs w:val="1"/>
          <w:color w:val="auto"/>
        </w:rPr>
        <w:t>BHCA</w:t>
      </w:r>
      <w:r>
        <w:rPr>
          <w:rFonts w:ascii="Times New Roman" w:cs="Times New Roman" w:eastAsia="Times New Roman" w:hAnsi="Times New Roman"/>
          <w:sz w:val="21"/>
          <w:szCs w:val="21"/>
          <w:color w:val="auto"/>
        </w:rPr>
        <w:t>”) and to regulation by the Board of Governors of the Federal Reserve System (“</w:t>
      </w:r>
      <w:r>
        <w:rPr>
          <w:rFonts w:ascii="Times New Roman" w:cs="Times New Roman" w:eastAsia="Times New Roman" w:hAnsi="Times New Roman"/>
          <w:sz w:val="21"/>
          <w:szCs w:val="21"/>
          <w:b w:val="1"/>
          <w:bCs w:val="1"/>
          <w:color w:val="auto"/>
        </w:rPr>
        <w:t>Federal Reserve</w:t>
      </w:r>
      <w:r>
        <w:rPr>
          <w:rFonts w:ascii="Times New Roman" w:cs="Times New Roman" w:eastAsia="Times New Roman" w:hAnsi="Times New Roman"/>
          <w:sz w:val="21"/>
          <w:szCs w:val="21"/>
          <w:color w:val="auto"/>
        </w:rPr>
        <w:t>”). Neither the Company nor any of its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Affiliates exercises a controlling influence</w:t>
      </w:r>
    </w:p>
    <w:p>
      <w:pPr>
        <w:spacing w:after="0" w:line="17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6" w:name="page57"/>
    <w:bookmarkEnd w:id="56"/>
    <w:p>
      <w:pPr>
        <w:ind w:left="180" w:right="199"/>
        <w:spacing w:after="0" w:line="259" w:lineRule="auto"/>
        <w:rPr>
          <w:sz w:val="20"/>
          <w:szCs w:val="20"/>
          <w:color w:val="auto"/>
        </w:rPr>
      </w:pPr>
      <w:r>
        <w:rPr>
          <w:rFonts w:ascii="Times New Roman" w:cs="Times New Roman" w:eastAsia="Times New Roman" w:hAnsi="Times New Roman"/>
          <w:sz w:val="22"/>
          <w:szCs w:val="22"/>
          <w:color w:val="auto"/>
        </w:rPr>
        <w:t>over the management or policies of a bank or any entity that is subject to the BHCA and to regulation by the Federal Reserve.</w:t>
      </w:r>
    </w:p>
    <w:p>
      <w:pPr>
        <w:spacing w:after="0" w:line="157" w:lineRule="exact"/>
        <w:rPr>
          <w:sz w:val="20"/>
          <w:szCs w:val="20"/>
          <w:color w:val="auto"/>
        </w:rPr>
      </w:pPr>
    </w:p>
    <w:p>
      <w:pPr>
        <w:jc w:val="both"/>
        <w:ind w:left="180" w:right="199" w:firstLine="1300"/>
        <w:spacing w:after="0" w:line="248" w:lineRule="auto"/>
        <w:tabs>
          <w:tab w:leader="none" w:pos="224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Money Laundering</w:t>
      </w:r>
      <w:r>
        <w:rPr>
          <w:rFonts w:ascii="Times New Roman" w:cs="Times New Roman" w:eastAsia="Times New Roman" w:hAnsi="Times New Roman"/>
          <w:sz w:val="21"/>
          <w:szCs w:val="21"/>
          <w:color w:val="auto"/>
        </w:rPr>
        <w:t>. The operations of the Company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21"/>
          <w:szCs w:val="21"/>
          <w:b w:val="1"/>
          <w:bCs w:val="1"/>
          <w:color w:val="auto"/>
        </w:rPr>
        <w:t>Money Laundering Laws</w:t>
      </w:r>
      <w:r>
        <w:rPr>
          <w:rFonts w:ascii="Times New Roman" w:cs="Times New Roman" w:eastAsia="Times New Roman" w:hAnsi="Times New Roman"/>
          <w:sz w:val="21"/>
          <w:szCs w:val="21"/>
          <w:color w:val="auto"/>
        </w:rPr>
        <w:t>”), and no Action or Proceeding by or before any court or governmental agency, authority or body or any arbitrator involving the Company with respect to the Money Laundering Laws is pending or, to the knowledge of the Company, threatened.</w:t>
      </w:r>
    </w:p>
    <w:p>
      <w:pPr>
        <w:spacing w:after="0" w:line="170" w:lineRule="exact"/>
        <w:rPr>
          <w:rFonts w:ascii="Times New Roman" w:cs="Times New Roman" w:eastAsia="Times New Roman" w:hAnsi="Times New Roman"/>
          <w:sz w:val="21"/>
          <w:szCs w:val="21"/>
          <w:color w:val="auto"/>
        </w:rPr>
      </w:pPr>
    </w:p>
    <w:p>
      <w:pPr>
        <w:jc w:val="both"/>
        <w:ind w:left="180" w:right="199" w:firstLine="1300"/>
        <w:spacing w:after="0" w:line="246" w:lineRule="auto"/>
        <w:tabs>
          <w:tab w:leader="none" w:pos="229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The representations and warranties of the Company contained in this Agreement, and the certificate(s) furnished or to be furnished to the Investor at the Closing, when taken as a whole, do not contain any untrue statement of a material fact or omit to state a material fact necessary in order to make the statements contained herein or therein not misleading in light of the circumstances under which they were made. The Company acknowledges and agrees that the representations contained in section 3.02 shall not modify, amend or affect the Investor’s right to rely on the Company’s representations and warranties contained in this Section 3.01 or elsewhere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Representations and Warranties of the Investor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The Investor hereby represents and warrants as of the date hereof and as of the Closing Date to the Company as follows (unless as of a specific date therein, in which case they shall be accurate as of such date):</w:t>
      </w:r>
    </w:p>
    <w:p>
      <w:pPr>
        <w:spacing w:after="0" w:line="173" w:lineRule="exact"/>
        <w:rPr>
          <w:sz w:val="20"/>
          <w:szCs w:val="20"/>
          <w:color w:val="auto"/>
        </w:rPr>
      </w:pPr>
    </w:p>
    <w:p>
      <w:pPr>
        <w:jc w:val="both"/>
        <w:ind w:left="180" w:right="199" w:firstLine="1300"/>
        <w:spacing w:after="0" w:line="235" w:lineRule="auto"/>
        <w:tabs>
          <w:tab w:leader="none" w:pos="217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Investor has all requisite legal and corporate or other power and capacity and has taken all requisite corporate or other action to execute and deliver this Agreement, to purchase the Shares and to carry out and perform all of its obligations under this Agreement. This Agreement constitutes the legal, valid and binding obligation of the Investor, enforceable against the Investor in accordance with its terms, except (i) as limited by applicable bankruptcy, insolvency, reorganization or similar Laws relating to or affecting the enforcement of creditors’ rights generally and (ii) as limited by equitable principles generally.</w:t>
      </w:r>
    </w:p>
    <w:p>
      <w:pPr>
        <w:spacing w:after="0" w:line="183" w:lineRule="exact"/>
        <w:rPr>
          <w:rFonts w:ascii="Times New Roman" w:cs="Times New Roman" w:eastAsia="Times New Roman" w:hAnsi="Times New Roman"/>
          <w:sz w:val="22"/>
          <w:szCs w:val="22"/>
          <w:color w:val="auto"/>
        </w:rPr>
      </w:pPr>
    </w:p>
    <w:p>
      <w:pPr>
        <w:jc w:val="both"/>
        <w:ind w:left="180" w:right="199" w:firstLine="1300"/>
        <w:spacing w:after="0" w:line="246" w:lineRule="auto"/>
        <w:tabs>
          <w:tab w:leader="none" w:pos="2187"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 Account</w:t>
      </w:r>
      <w:r>
        <w:rPr>
          <w:rFonts w:ascii="Times New Roman" w:cs="Times New Roman" w:eastAsia="Times New Roman" w:hAnsi="Times New Roman"/>
          <w:sz w:val="21"/>
          <w:szCs w:val="21"/>
          <w:color w:val="auto"/>
        </w:rPr>
        <w:t>. The Investor is acquiring the Shares for its own account, for investment purposes only, not for other Persons, and not with a present view to, or for, resale, distribution or fractionalization thereof, in whole or in part (within the meaning of the Securities Act) in violation of the Securities Act. The Investor understands that its acquisition of the Shares has not been registered under the Securities Act or registered or qualified under any state securities Law in reliance on specific exemptions therefrom, which exemptions may depend upon, among other things, the bona fide nature of the Investor’s investment intent as expressed herein. The Investor will not, directly or indirectly, offer, sell, pledge, transfer or otherwise dispose of (or solicit any offers to buy, purchase or otherwise acquire or take a pledge of) the Shares except in compliance with the Securities Act and the rules and regulations promulgated thereunder.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7" w:name="page58"/>
    <w:bookmarkEnd w:id="57"/>
    <w:p>
      <w:pPr>
        <w:ind w:left="2180" w:hanging="700"/>
        <w:spacing w:after="0"/>
        <w:tabs>
          <w:tab w:leader="none" w:pos="218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Investor Status</w:t>
      </w:r>
      <w:r>
        <w:rPr>
          <w:rFonts w:ascii="Times New Roman" w:cs="Times New Roman" w:eastAsia="Times New Roman" w:hAnsi="Times New Roman"/>
          <w:sz w:val="21"/>
          <w:szCs w:val="21"/>
          <w:color w:val="auto"/>
        </w:rPr>
        <w:t>. The Investor is and, at the time the Investor was offered the</w:t>
      </w:r>
    </w:p>
    <w:p>
      <w:pPr>
        <w:spacing w:after="0" w:line="26" w:lineRule="exact"/>
        <w:rPr>
          <w:rFonts w:ascii="Times New Roman" w:cs="Times New Roman" w:eastAsia="Times New Roman" w:hAnsi="Times New Roman"/>
          <w:sz w:val="21"/>
          <w:szCs w:val="21"/>
          <w:color w:val="auto"/>
        </w:rPr>
      </w:pPr>
    </w:p>
    <w:p>
      <w:pPr>
        <w:jc w:val="both"/>
        <w:ind w:left="180" w:right="199"/>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Shares, was: (i) an “accredited investor” as defined in Rule 501(a) of the Securities Act or (ii) a “qualified institutional buyer” as defined in Rule 144A(a) under the Securities Act. The Investor is aware of the Company’s business affairs and financial condition and has had access to and has acquired sufficient information about the Company to reach an informed and knowledgeable decision to acquire the Shares. The Investor has such knowledge, sophistication, and experience in business and financial matters so as to be capable of evaluating the merits and risks of the prospective investment in, and to protect its own interests in connection with the purchase of, the Shares. The Investor acknowledges that it has had the opportunity to review the Company’s filings with the SEC, including the Company’s Annual Report on Form 10-K for the year ended December 31, 2025, filed on March 31, 2026 (the “</w:t>
      </w:r>
      <w:r>
        <w:rPr>
          <w:rFonts w:ascii="Times New Roman" w:cs="Times New Roman" w:eastAsia="Times New Roman" w:hAnsi="Times New Roman"/>
          <w:sz w:val="22"/>
          <w:szCs w:val="22"/>
          <w:b w:val="1"/>
          <w:bCs w:val="1"/>
          <w:color w:val="auto"/>
        </w:rPr>
        <w:t>2025 Form 10-K</w:t>
      </w:r>
      <w:r>
        <w:rPr>
          <w:rFonts w:ascii="Times New Roman" w:cs="Times New Roman" w:eastAsia="Times New Roman" w:hAnsi="Times New Roman"/>
          <w:sz w:val="22"/>
          <w:szCs w:val="22"/>
          <w:color w:val="auto"/>
        </w:rPr>
        <w:t>”) as well as the description of the Company’s securities included in the 2025 Form 10-K as Exhibit 4.3, and, further, that it has (A) been made aware that the Company intends to use any proceeds from the Offering for general corporate working capital purposes and that the Company will have broad discretion in respect of such use of proceeds, (B) reviewed the information related to the Offering provided by the Company to the Investor and has been afforded the opportunity to ask such questions as it has deemed necessary of, and to receive answers from, representatives of the Company concerning the terms and conditions of the Offering and the merits and risks of investing in the Shares and (C) been afforded the opportunity to obtain such additional information that the Company possesses or can acquire without unreasonable effort or expense that is necessary to make an informed investment decision with respect to the investment. Neither the Investor nor the Investor’s investment managers, if any, have been furnished any offering memorandum or similar disclosure document by the Company or any of its Affiliates, associates, or agents other than the Transaction Documents, and the agreements referenced therein. The Investor understands that no United States federal or state agency or any other Governmental Entity has passed upon or made any recommendation or endorsement of the Shares.</w:t>
      </w:r>
    </w:p>
    <w:p>
      <w:pPr>
        <w:spacing w:after="0" w:line="179" w:lineRule="exact"/>
        <w:rPr>
          <w:rFonts w:ascii="Times New Roman" w:cs="Times New Roman" w:eastAsia="Times New Roman" w:hAnsi="Times New Roman"/>
          <w:sz w:val="21"/>
          <w:szCs w:val="21"/>
          <w:color w:val="auto"/>
        </w:rPr>
      </w:pPr>
    </w:p>
    <w:p>
      <w:pPr>
        <w:jc w:val="both"/>
        <w:ind w:left="180" w:right="199" w:firstLine="1300"/>
        <w:spacing w:after="0" w:line="236" w:lineRule="auto"/>
        <w:tabs>
          <w:tab w:leader="none" w:pos="22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The Investor represents and acknowledges that it has not been solicited to offer to purchase or to purchase any Shares by means of any form of general solicitation or general advertising within the meaning of Regulation D under the Securities Act. The Investor has not taken and will not take any action that would cause the issuance of the Shares to fail to qualify for an exemption from registration under Section 4(a)(2) of the Securities Act or Rule 506(b) of Regulation D.</w:t>
      </w:r>
    </w:p>
    <w:p>
      <w:pPr>
        <w:spacing w:after="0" w:line="177"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Investor acknowledges that the Shares are “restricted securities” within the meaning of Rule 144 under the Securities Act and may not be sold, transferred or otherwise disposed of except pursuant to an effective registration statement or an available exemption from registration, and then only in compliance with applicable federal and state securities laws.</w:t>
      </w:r>
    </w:p>
    <w:p>
      <w:pPr>
        <w:spacing w:after="0" w:line="180" w:lineRule="exact"/>
        <w:rPr>
          <w:rFonts w:ascii="Times New Roman" w:cs="Times New Roman" w:eastAsia="Times New Roman" w:hAnsi="Times New Roman"/>
          <w:sz w:val="22"/>
          <w:szCs w:val="22"/>
          <w:color w:val="auto"/>
        </w:rPr>
      </w:pPr>
    </w:p>
    <w:p>
      <w:pPr>
        <w:ind w:left="180" w:right="199" w:firstLine="1300"/>
        <w:spacing w:after="0" w:line="258" w:lineRule="auto"/>
        <w:tabs>
          <w:tab w:leader="none" w:pos="220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The Investor understands that the Shares, including on the books of the Company’s transfer agent, may bear one or both of the following legends:</w:t>
      </w:r>
    </w:p>
    <w:p>
      <w:pPr>
        <w:spacing w:after="0" w:line="158" w:lineRule="exact"/>
        <w:rPr>
          <w:rFonts w:ascii="Times New Roman" w:cs="Times New Roman" w:eastAsia="Times New Roman" w:hAnsi="Times New Roman"/>
          <w:sz w:val="22"/>
          <w:szCs w:val="22"/>
          <w:color w:val="auto"/>
        </w:rPr>
      </w:pPr>
    </w:p>
    <w:p>
      <w:pPr>
        <w:jc w:val="both"/>
        <w:ind w:left="840" w:right="199" w:firstLine="1288"/>
        <w:spacing w:after="0" w:line="255" w:lineRule="auto"/>
        <w:tabs>
          <w:tab w:leader="none" w:pos="285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legend substantially similar to: “THE SHARES REPRESENTED BY THIS CERTIFICATE HAVE NOT BEEN REGISTERED UNDER THE SECURITIES ACT OF 1933, AS AMENDED, AND HAVE BEEN ACQUIRED FOR INVESTMENT AND NOT WITH A VIEW TO, OR IN CONNECTION WITH, THE</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8" w:name="page59"/>
    <w:bookmarkEnd w:id="58"/>
    <w:p>
      <w:pPr>
        <w:jc w:val="both"/>
        <w:ind w:left="840" w:right="199"/>
        <w:spacing w:after="0" w:line="238" w:lineRule="auto"/>
        <w:rPr>
          <w:sz w:val="20"/>
          <w:szCs w:val="20"/>
          <w:color w:val="auto"/>
        </w:rPr>
      </w:pPr>
      <w:r>
        <w:rPr>
          <w:rFonts w:ascii="Times New Roman" w:cs="Times New Roman" w:eastAsia="Times New Roman" w:hAnsi="Times New Roman"/>
          <w:sz w:val="22"/>
          <w:szCs w:val="22"/>
          <w:color w:val="auto"/>
        </w:rPr>
        <w:t>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77" w:lineRule="exact"/>
        <w:rPr>
          <w:sz w:val="20"/>
          <w:szCs w:val="20"/>
          <w:color w:val="auto"/>
        </w:rPr>
      </w:pPr>
    </w:p>
    <w:p>
      <w:pPr>
        <w:ind w:left="840" w:right="199" w:firstLine="1288"/>
        <w:spacing w:after="0" w:line="258" w:lineRule="auto"/>
        <w:tabs>
          <w:tab w:leader="none" w:pos="288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legend required by the securities laws of any state to the extent such laws are applicable to the Shares represented by so legended.</w:t>
      </w:r>
    </w:p>
    <w:p>
      <w:pPr>
        <w:spacing w:after="0" w:line="158" w:lineRule="exact"/>
        <w:rPr>
          <w:rFonts w:ascii="Times New Roman" w:cs="Times New Roman" w:eastAsia="Times New Roman" w:hAnsi="Times New Roman"/>
          <w:sz w:val="22"/>
          <w:szCs w:val="22"/>
          <w:color w:val="auto"/>
        </w:rPr>
      </w:pPr>
    </w:p>
    <w:p>
      <w:pPr>
        <w:jc w:val="both"/>
        <w:ind w:left="180" w:right="199" w:firstLine="1300"/>
        <w:spacing w:after="0" w:line="236" w:lineRule="auto"/>
        <w:tabs>
          <w:tab w:leader="none" w:pos="218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Underwriter Status</w:t>
      </w:r>
      <w:r>
        <w:rPr>
          <w:rFonts w:ascii="Times New Roman" w:cs="Times New Roman" w:eastAsia="Times New Roman" w:hAnsi="Times New Roman"/>
          <w:sz w:val="22"/>
          <w:szCs w:val="22"/>
          <w:color w:val="auto"/>
        </w:rPr>
        <w:t>. The Investor acknowledges that, depending on the facts and circumstances at the time of any resale or distribution of the Shares, including any resale pursuant to a resale registration statement, the Investor may be deemed to be an “underwriter” within the meaning of Section 2(a)(11) of the Securities Act. The Investor further acknowledges that no representation has been made by the Company that any resale of the Shares will not result in the Investor being deemed an underwriter.</w:t>
      </w:r>
    </w:p>
    <w:p>
      <w:pPr>
        <w:spacing w:after="0" w:line="181" w:lineRule="exact"/>
        <w:rPr>
          <w:rFonts w:ascii="Times New Roman" w:cs="Times New Roman" w:eastAsia="Times New Roman" w:hAnsi="Times New Roman"/>
          <w:sz w:val="22"/>
          <w:szCs w:val="22"/>
          <w:color w:val="auto"/>
        </w:rPr>
      </w:pPr>
    </w:p>
    <w:p>
      <w:pPr>
        <w:jc w:val="both"/>
        <w:ind w:left="180" w:right="199" w:firstLine="1300"/>
        <w:spacing w:after="0" w:line="251" w:lineRule="auto"/>
        <w:tabs>
          <w:tab w:leader="none" w:pos="220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Price</w:t>
      </w:r>
      <w:r>
        <w:rPr>
          <w:rFonts w:ascii="Times New Roman" w:cs="Times New Roman" w:eastAsia="Times New Roman" w:hAnsi="Times New Roman"/>
          <w:sz w:val="21"/>
          <w:szCs w:val="21"/>
          <w:color w:val="auto"/>
        </w:rPr>
        <w:t>. The Investor acknowledges and agrees that the Shares are being issued at a price per share that is not less than the “Minimum Price” within the meaning of Nasdaq Rule 5635(d), determined in accordance with applicable Nasdaq rules, and that the Investor has not relied on the Company to determine or opine on the applicability of Nasdaq Rule 5635(d) or whether stockholder approval is required in connection with the issuance of the Shares.</w:t>
      </w:r>
    </w:p>
    <w:p>
      <w:pPr>
        <w:spacing w:after="0" w:line="168" w:lineRule="exact"/>
        <w:rPr>
          <w:rFonts w:ascii="Times New Roman" w:cs="Times New Roman" w:eastAsia="Times New Roman" w:hAnsi="Times New Roman"/>
          <w:sz w:val="21"/>
          <w:szCs w:val="21"/>
          <w:color w:val="auto"/>
        </w:rPr>
      </w:pPr>
    </w:p>
    <w:p>
      <w:pPr>
        <w:jc w:val="both"/>
        <w:ind w:left="180" w:right="199" w:firstLine="1300"/>
        <w:spacing w:after="0" w:line="244" w:lineRule="auto"/>
        <w:tabs>
          <w:tab w:leader="none" w:pos="220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xml:space="preserve"> The Investor acknowledges that Nasdaq Rule 5635(b) may require stockholder approval if a transaction results in a change of control of the Company, including where a single investor or a group of investors acting together acquires 20% or more of the Company’s outstanding Common Stock and becomes the largest stockholder, or otherwise obtains the ability to control or meaningfully influence management or policies of the Company. The Investor represents and warrants that, immediately following the issuance of Preferred Stock in the Offering, the Investor (together with any other Person whose beneficial ownership would be aggregated with the Investor’s pursuant to Section 13(d) or Section 16 of the Exchange Act and the rules and regulations promulgated thereunder, including any “group” of which the Investor is a member) will not beneficially own or have voting power over more than 19.99% of the outstanding shares of the Common Stock. The Investor further represents that, as of immediately following such issuance, the Investor will not, alone or together with any other Person, have any other indicia of control over the Company or the ability to meaningfully influence the management or policies of the Company, whether through ownership, voting power, contractual arrangements, understandings, or otherwise, in a manner that would reasonably be expected to constitute a change of control for purposes of Nasdaq Rule 5635(b) or applicable federal securities laws.</w:t>
      </w:r>
    </w:p>
    <w:p>
      <w:pPr>
        <w:spacing w:after="0" w:line="175" w:lineRule="exact"/>
        <w:rPr>
          <w:rFonts w:ascii="Times New Roman" w:cs="Times New Roman" w:eastAsia="Times New Roman" w:hAnsi="Times New Roman"/>
          <w:sz w:val="21"/>
          <w:szCs w:val="21"/>
          <w:color w:val="auto"/>
        </w:rPr>
      </w:pPr>
    </w:p>
    <w:p>
      <w:pPr>
        <w:jc w:val="both"/>
        <w:ind w:left="180" w:right="199" w:firstLine="1300"/>
        <w:spacing w:after="0" w:line="239" w:lineRule="auto"/>
        <w:tabs>
          <w:tab w:leader="none" w:pos="22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Group Status</w:t>
      </w:r>
      <w:r>
        <w:rPr>
          <w:rFonts w:ascii="Times New Roman" w:cs="Times New Roman" w:eastAsia="Times New Roman" w:hAnsi="Times New Roman"/>
          <w:sz w:val="22"/>
          <w:szCs w:val="22"/>
          <w:color w:val="auto"/>
        </w:rPr>
        <w:t>. The Investor represents that it is acquiring the Shares for investment purposes only and is not acting, and does not intend to act, as part of a “group” (within the meaning of Section 13(d) of the Exchange Act) with any other holder of the Company’s securities.</w:t>
      </w:r>
    </w:p>
    <w:p>
      <w:pPr>
        <w:spacing w:after="0" w:line="180"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Indirect Primary; No Conduit</w:t>
      </w:r>
      <w:r>
        <w:rPr>
          <w:rFonts w:ascii="Times New Roman" w:cs="Times New Roman" w:eastAsia="Times New Roman" w:hAnsi="Times New Roman"/>
          <w:sz w:val="22"/>
          <w:szCs w:val="22"/>
          <w:color w:val="auto"/>
        </w:rPr>
        <w:t>. The Investor represents and acknowledges that it is acquiring the Shares for its own account for investment purposes only and not with a view to, or for the purpose of, distributing such Shares on behalf of the Company. The</w:t>
      </w:r>
    </w:p>
    <w:p>
      <w:pPr>
        <w:spacing w:after="0" w:line="1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jc w:val="both"/>
        <w:ind w:left="180" w:right="199"/>
        <w:spacing w:after="0" w:line="235" w:lineRule="auto"/>
        <w:rPr>
          <w:sz w:val="20"/>
          <w:szCs w:val="20"/>
          <w:color w:val="auto"/>
        </w:rPr>
      </w:pPr>
      <w:r>
        <w:rPr>
          <w:rFonts w:ascii="Times New Roman" w:cs="Times New Roman" w:eastAsia="Times New Roman" w:hAnsi="Times New Roman"/>
          <w:sz w:val="22"/>
          <w:szCs w:val="22"/>
          <w:color w:val="auto"/>
        </w:rPr>
        <w:t>Investor is not acquiring the Shares on behalf of, or as a conduit for, the Company and has no agreement, arrangement or understanding, directly or indirectly, with the Company or any other Person regarding the timing, manner or terms of any resale of the Shares that would cause any such resale to be deemed an offering by or on behalf of the Company. The Investor covenants that it will not take any action, including coordination with other investors or disproportionate resale activity, that would reasonably be expected to reasonably cause any resale of the Shares to be deemed an indirect primary offering or otherwise an offering by or on behalf of the Company.</w:t>
      </w:r>
    </w:p>
    <w:p>
      <w:pPr>
        <w:spacing w:after="0" w:line="184" w:lineRule="exact"/>
        <w:rPr>
          <w:sz w:val="20"/>
          <w:szCs w:val="20"/>
          <w:color w:val="auto"/>
        </w:rPr>
      </w:pPr>
    </w:p>
    <w:p>
      <w:pPr>
        <w:jc w:val="both"/>
        <w:ind w:left="180" w:right="199" w:firstLine="1300"/>
        <w:spacing w:after="0" w:line="248" w:lineRule="auto"/>
        <w:tabs>
          <w:tab w:leader="none" w:pos="222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Non-Reliance</w:t>
      </w:r>
      <w:r>
        <w:rPr>
          <w:rFonts w:ascii="Times New Roman" w:cs="Times New Roman" w:eastAsia="Times New Roman" w:hAnsi="Times New Roman"/>
          <w:sz w:val="21"/>
          <w:szCs w:val="21"/>
          <w:color w:val="auto"/>
        </w:rPr>
        <w:t>. The Investor understands that nothing in this Agreement or any materials presented, or in any communications (whether written or oral) from the Company, to the Investor in connection with the purchase and sale of the Shares constitutes legal, tax or investment advice. The Investor has consulted such legal, tax and investment advisors and made such investigations as the Investor, in its sole discretion, has deemed necessary or appropriate in connection with its acquisition of the Shares. The Investor hereby acknowledges and agrees that it has independently evaluated the merits of its decision to purchase the Shares.</w:t>
      </w:r>
    </w:p>
    <w:p>
      <w:pPr>
        <w:spacing w:after="0" w:line="170" w:lineRule="exact"/>
        <w:rPr>
          <w:rFonts w:ascii="Times New Roman" w:cs="Times New Roman" w:eastAsia="Times New Roman" w:hAnsi="Times New Roman"/>
          <w:sz w:val="21"/>
          <w:szCs w:val="21"/>
          <w:color w:val="auto"/>
        </w:rPr>
      </w:pPr>
    </w:p>
    <w:p>
      <w:pPr>
        <w:jc w:val="both"/>
        <w:ind w:left="180" w:right="199" w:firstLine="1300"/>
        <w:spacing w:after="0" w:line="239" w:lineRule="auto"/>
        <w:tabs>
          <w:tab w:leader="none" w:pos="22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Disqualifying Events</w:t>
      </w:r>
      <w:r>
        <w:rPr>
          <w:rFonts w:ascii="Times New Roman" w:cs="Times New Roman" w:eastAsia="Times New Roman" w:hAnsi="Times New Roman"/>
          <w:sz w:val="22"/>
          <w:szCs w:val="22"/>
          <w:color w:val="auto"/>
        </w:rPr>
        <w:t>. The Investor represents that it is not a Person of the type described in Rule 506(d) of Regulation D under the Securities Act that would disqualify the Company from engaging in a transaction pursuant to Rule 506 of Regulation D under the Securities Act.</w:t>
      </w:r>
    </w:p>
    <w:p>
      <w:pPr>
        <w:spacing w:after="0" w:line="176" w:lineRule="exact"/>
        <w:rPr>
          <w:rFonts w:ascii="Times New Roman" w:cs="Times New Roman" w:eastAsia="Times New Roman" w:hAnsi="Times New Roman"/>
          <w:sz w:val="22"/>
          <w:szCs w:val="22"/>
          <w:color w:val="auto"/>
        </w:rPr>
      </w:pPr>
    </w:p>
    <w:p>
      <w:pPr>
        <w:ind w:left="2280" w:hanging="800"/>
        <w:spacing w:after="0"/>
        <w:tabs>
          <w:tab w:leader="none" w:pos="22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Speculative Nature of Investment;   Risk Factors.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INVESTOR</w:t>
      </w:r>
    </w:p>
    <w:p>
      <w:pPr>
        <w:spacing w:after="0" w:line="18" w:lineRule="exact"/>
        <w:rPr>
          <w:rFonts w:ascii="Times New Roman" w:cs="Times New Roman" w:eastAsia="Times New Roman" w:hAnsi="Times New Roman"/>
          <w:sz w:val="22"/>
          <w:szCs w:val="22"/>
          <w:color w:val="auto"/>
        </w:rPr>
      </w:pPr>
    </w:p>
    <w:p>
      <w:pPr>
        <w:jc w:val="both"/>
        <w:ind w:left="180" w:right="199"/>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UNDERSTANDS THAT AN INVESTMENT IN THE SHARES INVOLVES A HIGH DEGREE OF RISK. </w:t>
      </w:r>
      <w:r>
        <w:rPr>
          <w:rFonts w:ascii="Times New Roman" w:cs="Times New Roman" w:eastAsia="Times New Roman" w:hAnsi="Times New Roman"/>
          <w:sz w:val="22"/>
          <w:szCs w:val="22"/>
          <w:color w:val="auto"/>
        </w:rPr>
        <w:t>The Investor acknowledges that: (i) any projections, forecasts or estimates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have been provided to the Investor by the Company in connection with the Offering are purely speculative and cannot be relied upon to indicate actual results that may be obtained through this investment; any such projections, forecasts and estimates are based upon assumptions that Company management deemed to be reasonable at the time such projections, forecasts or estimates were made but which are subject to change and which are beyond the control of the Company or its management, (ii) the tax effects which may be expected by this investment are not susceptible to absolute prediction, and new developments and rules of the Internal Revenue Service, audit adjustment, court decisions or legislative changes may have an adverse effect on one or more of the tax consequences of this investment, (iii) the Investor has reviewed the risk factors and other information related to the Offering provided by the Company to the Investor and (iv) the Investor has been advised to consult with his own advisor regarding legal matters and tax consequences involving this investment. The Shares offered hereby are highly speculative and involve a high degree of risk and the Investor should only purchase these securities if the Investor can afford to lose their entire investment.</w:t>
      </w:r>
    </w:p>
    <w:p>
      <w:pPr>
        <w:spacing w:after="0" w:line="184" w:lineRule="exact"/>
        <w:rPr>
          <w:rFonts w:ascii="Times New Roman" w:cs="Times New Roman" w:eastAsia="Times New Roman" w:hAnsi="Times New Roman"/>
          <w:sz w:val="22"/>
          <w:szCs w:val="22"/>
          <w:color w:val="auto"/>
        </w:rPr>
      </w:pPr>
    </w:p>
    <w:p>
      <w:pPr>
        <w:jc w:val="both"/>
        <w:ind w:left="180" w:right="199" w:firstLine="1300"/>
        <w:spacing w:after="0" w:line="238" w:lineRule="auto"/>
        <w:tabs>
          <w:tab w:leader="none" w:pos="222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Money Laundering</w:t>
      </w:r>
      <w:r>
        <w:rPr>
          <w:rFonts w:ascii="Times New Roman" w:cs="Times New Roman" w:eastAsia="Times New Roman" w:hAnsi="Times New Roman"/>
          <w:sz w:val="22"/>
          <w:szCs w:val="22"/>
          <w:color w:val="auto"/>
        </w:rPr>
        <w:t>. The operations of the Investor are and have been conducted at all times in compliance with Money Laundering Laws, and no Action or Proceeding by or before any court or governmental agency, authority or body or any arbitrator involving the Investor with respect to the Money Laundering Laws is pending or, to the knowledge of the Investor, threatened.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The Company acknowledges and agrees that the representations contained in Section 3.02 shall not modify, amend or affect the Investor’s right to rely on the Company’s representations and warranties contained in this Agreement.</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ARTICLE 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OTHER AGREEMENTS OF THE PARTIES</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4" w:lineRule="auto"/>
        <w:tabs>
          <w:tab w:leader="none" w:pos="218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may only be disposed of in compliance with state and federal securities laws. In connection with any transfer of Shares other than pursuant to an effective registration statement,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The Shares may not be sold or transferred by the Investor without the written consent of the Company, which shall not be unreasonably withheld. As a condition of such sale or transfer, any such transferee shall agree in writing to be bound by the terms of this Agreement and shall have the rights of the Investor under this Agreement.</w:t>
      </w:r>
    </w:p>
    <w:p>
      <w:pPr>
        <w:spacing w:after="0" w:line="179" w:lineRule="exact"/>
        <w:rPr>
          <w:rFonts w:ascii="Times New Roman" w:cs="Times New Roman" w:eastAsia="Times New Roman" w:hAnsi="Times New Roman"/>
          <w:sz w:val="22"/>
          <w:szCs w:val="22"/>
          <w:color w:val="auto"/>
        </w:rPr>
      </w:pPr>
    </w:p>
    <w:p>
      <w:pPr>
        <w:ind w:left="2200" w:hanging="720"/>
        <w:spacing w:after="0"/>
        <w:tabs>
          <w:tab w:leader="none" w:pos="22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Investor agrees to the imprinting, so long as is required by this </w:t>
      </w:r>
      <w:r>
        <w:rPr>
          <w:rFonts w:ascii="Times New Roman" w:cs="Times New Roman" w:eastAsia="Times New Roman" w:hAnsi="Times New Roman"/>
          <w:sz w:val="22"/>
          <w:szCs w:val="22"/>
          <w:u w:val="single" w:color="auto"/>
          <w:color w:val="auto"/>
        </w:rPr>
        <w:t>Section</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w:t>
      </w:r>
      <w:r>
        <w:rPr>
          <w:rFonts w:ascii="Times New Roman" w:cs="Times New Roman" w:eastAsia="Times New Roman" w:hAnsi="Times New Roman"/>
          <w:sz w:val="22"/>
          <w:szCs w:val="22"/>
          <w:color w:val="auto"/>
        </w:rPr>
        <w:t>, of a legend on any of the Shares in the following form:</w:t>
      </w:r>
    </w:p>
    <w:p>
      <w:pPr>
        <w:spacing w:after="0" w:line="182" w:lineRule="exact"/>
        <w:rPr>
          <w:sz w:val="20"/>
          <w:szCs w:val="20"/>
          <w:color w:val="auto"/>
        </w:rPr>
      </w:pPr>
    </w:p>
    <w:p>
      <w:pPr>
        <w:jc w:val="both"/>
        <w:ind w:left="180" w:right="199"/>
        <w:spacing w:after="0" w:line="246" w:lineRule="auto"/>
        <w:rPr>
          <w:sz w:val="20"/>
          <w:szCs w:val="20"/>
          <w:color w:val="auto"/>
        </w:rPr>
      </w:pPr>
      <w:r>
        <w:rPr>
          <w:rFonts w:ascii="Times New Roman" w:cs="Times New Roman" w:eastAsia="Times New Roman" w:hAnsi="Times New Roman"/>
          <w:sz w:val="21"/>
          <w:szCs w:val="21"/>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OR OTHER LOAN SECURED BY SUCH SECURITIES.</w:t>
      </w:r>
    </w:p>
    <w:p>
      <w:pPr>
        <w:spacing w:after="0" w:line="171" w:lineRule="exact"/>
        <w:rPr>
          <w:sz w:val="20"/>
          <w:szCs w:val="20"/>
          <w:color w:val="auto"/>
        </w:rPr>
      </w:pPr>
    </w:p>
    <w:p>
      <w:pPr>
        <w:jc w:val="both"/>
        <w:ind w:left="180" w:right="199" w:firstLine="1300"/>
        <w:spacing w:after="0" w:line="236" w:lineRule="auto"/>
        <w:tabs>
          <w:tab w:leader="none" w:pos="218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Investor agrees that it will sell Shares only pursuant to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is predicated upon the Company’s reliance upon this understanding.</w:t>
      </w:r>
    </w:p>
    <w:p>
      <w:pPr>
        <w:spacing w:after="0" w:line="181"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The Company shall not sell, offer for sale, or solicit offers to buy or otherwise negotiate in respect of any security (as defined in Section 2 of the Securities Act) that would be integrated with the offer or sale of the Shares to the Investor in a manner that would require the registration under the Securities Act of the sale of the Shares to the Investor.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The Company and the Investor shall consult with each other in issuing any other press releases with respect to the transactions contemplated hereby, and neither the Company nor the Investor shall issue any such press release nor otherwise make any such public statement without the prior consent of the Company with respect to any press release of the Investor, or without the prior consent of the Investor with respect to any press release of the Company mentioning the Investor, which consent shall not unreasonably be withheld or delayed, except if such disclosure is required by law, in which case the disclosing party shall promptly provide the other party with prior notice of such public statement or communication.</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Indemnification of Investor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right="199" w:firstLine="1300"/>
        <w:spacing w:after="0" w:line="232" w:lineRule="auto"/>
        <w:tabs>
          <w:tab w:leader="none" w:pos="220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reimburse and hold harmless the Investor and its partners, members, shareholders, officers, directors, employees and agents (and any other persons with other titles that have similar functions) and each Person, if any, who controls the Investor within the meaning of Section 15 of the Securities Act or Section 20 the Exchange Act (collectively,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any and all losses, claims, liabilities, damages, penalties, suits, costs and expenses, of any kind or nature, (including fees relating to the cost of investigating and defending any of the foregoing) imposed on, incurred by or asserted against such Indemnitee in any way related to or arising from or alleged to arise from: (i) any breach of any of the representations, warranties, covenants or agreements made by the Company in this Agreement or in the other Transaction Documents and (ii) any action instituted against such Indemnitee in any capacity, or any of them or their respective Affiliates, by any stockholder of the Company who is not an Affiliate of such Indemnitee, with respect to any of the transactions contemplated by the Transaction Documents (unless such action is based upon a breach of such Indemnitee’s representations, warranties or covenants under the Transaction Documents or any agreements or understandings such Indemnitee may have with any such stockholder or any violations by such Indemnitee of state or federal securities laws or any conduct by such Indemnitee which results from the gross negligence or willful misconduct of the Indemnitee as determined by a final, nonappealable decision of a court of competent jurisdiction).</w:t>
      </w:r>
    </w:p>
    <w:p>
      <w:pPr>
        <w:spacing w:after="0" w:line="188" w:lineRule="exact"/>
        <w:rPr>
          <w:rFonts w:ascii="Times New Roman" w:cs="Times New Roman" w:eastAsia="Times New Roman" w:hAnsi="Times New Roman"/>
          <w:sz w:val="22"/>
          <w:szCs w:val="22"/>
          <w:color w:val="auto"/>
        </w:rPr>
      </w:pPr>
    </w:p>
    <w:p>
      <w:pPr>
        <w:jc w:val="both"/>
        <w:ind w:left="180" w:right="199" w:firstLine="1300"/>
        <w:spacing w:after="0" w:line="244" w:lineRule="auto"/>
        <w:tabs>
          <w:tab w:leader="none" w:pos="222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receipt by any Indemnitee of a notice of a claim or the beginning of any action in respect of which indemnity is to be sought against an indemnifying Person pursuant to this Section 4.04, such Indemnitee shall notify the indemnifying Person in writing of such claim or of the commencement of such action, and, subject to the provisions hereinafter stated, in case any such action shall be brought against an Indemnitee and such indemnifying Person shall have been notified thereof, such indemnifying Person shall be entitled to participate therein, and, to the extent that it shall wish, to assume the defense thereof, with counsel reasonably satisfactory to such Indemnitee. After notice from the indemnifying Person to such Indemnitee of its election to assume the defense thereof, such indemnifying Person shall not be liable to such Indemnitee for any legal expenses subsequently incurred by such Indemnitee in connection with the defense thereof; provided, however, that if there exists or shall exist a conflict of interest that would make it inappropriate in the reasonable judgment of the Indemnitee for the same counsel to represent both the Indemnitee and such indemnifying Person or any affiliate or associate thereof, the Indemnitee shall be entitled to retain its own counsel at the expense of such indemnifying Person; provided further, that no indemnifying Person shall be responsible for the fees and expense of more than one separate counsel for all indemnified parties. The indemnifying</w:t>
      </w:r>
    </w:p>
    <w:p>
      <w:pPr>
        <w:spacing w:after="0" w:line="17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ind w:left="180" w:right="199"/>
        <w:spacing w:after="0" w:line="259" w:lineRule="auto"/>
        <w:rPr>
          <w:sz w:val="20"/>
          <w:szCs w:val="20"/>
          <w:color w:val="auto"/>
        </w:rPr>
      </w:pPr>
      <w:r>
        <w:rPr>
          <w:rFonts w:ascii="Times New Roman" w:cs="Times New Roman" w:eastAsia="Times New Roman" w:hAnsi="Times New Roman"/>
          <w:sz w:val="22"/>
          <w:szCs w:val="22"/>
          <w:color w:val="auto"/>
        </w:rPr>
        <w:t>party shall not settle an action without the consent of the indemnified party, which consent shall not be unreasonably withheld.</w:t>
      </w:r>
    </w:p>
    <w:p>
      <w:pPr>
        <w:spacing w:after="0" w:line="157" w:lineRule="exact"/>
        <w:rPr>
          <w:sz w:val="20"/>
          <w:szCs w:val="20"/>
          <w:color w:val="auto"/>
        </w:rPr>
      </w:pPr>
    </w:p>
    <w:p>
      <w:pPr>
        <w:jc w:val="both"/>
        <w:ind w:left="180" w:right="199" w:firstLine="1300"/>
        <w:spacing w:after="0" w:line="234" w:lineRule="auto"/>
        <w:tabs>
          <w:tab w:leader="none" w:pos="217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proper notice of a claim or the commencement of any action against an Indemnitee, the indemnifying party does not choose to participate, then the Indemnitee shall assume the defense thereof and upon written notice by the Indemnitee requesting advance payment of a stated amount for its reasonable defense costs and expenses, the indemnifying party shall advance payment for such reasonable defense costs and expenses (the “</w:t>
      </w:r>
      <w:r>
        <w:rPr>
          <w:rFonts w:ascii="Times New Roman" w:cs="Times New Roman" w:eastAsia="Times New Roman" w:hAnsi="Times New Roman"/>
          <w:sz w:val="22"/>
          <w:szCs w:val="22"/>
          <w:b w:val="1"/>
          <w:bCs w:val="1"/>
          <w:color w:val="auto"/>
        </w:rPr>
        <w:t>Advance Indemnification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to the Indemnitee. If the Indemnitee’s actual defense costs and expenses exceed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the Advance Indemnification Payment, then upon written request by the Indemnitee, the indemnifying party shall reimburse the Indemnitee for such difference; if the Advance Indemnification Payment exceeds the Indemnitee’s actual costs and expenses, the Indemnitee shall promptly remit payment of such difference to the indemnifying party.</w:t>
      </w:r>
    </w:p>
    <w:p>
      <w:pPr>
        <w:spacing w:after="0" w:line="179" w:lineRule="exact"/>
        <w:rPr>
          <w:rFonts w:ascii="Times New Roman" w:cs="Times New Roman" w:eastAsia="Times New Roman" w:hAnsi="Times New Roman"/>
          <w:sz w:val="22"/>
          <w:szCs w:val="22"/>
          <w:color w:val="auto"/>
        </w:rPr>
      </w:pPr>
    </w:p>
    <w:p>
      <w:pPr>
        <w:jc w:val="both"/>
        <w:ind w:left="180" w:right="199" w:firstLine="1300"/>
        <w:spacing w:after="0" w:line="235" w:lineRule="auto"/>
        <w:tabs>
          <w:tab w:leader="none" w:pos="218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indemnification provided for in this Section 4.04 is held by a court of competent jurisdiction to be unavailable to an Indemnitee with respect to any losses, claims, damages or liabilities referred to herein, the indemnifying party, in lieu of indemnifying such Indemnitee thereunder, shall to the extent permitted by applicable Law contribute to the amount paid or payable by such Indemnitee as a result of such loss, claim, damage or liability in such proportion as is appropriate to reflect the relative fault of the indemnifying party on the one hand and of the Indemnitee on the other, as well as any other relevant equitable considerations.</w:t>
      </w:r>
    </w:p>
    <w:p>
      <w:pPr>
        <w:spacing w:after="0" w:line="183"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Securities Laws Disclosure</w:t>
      </w:r>
      <w:r>
        <w:rPr>
          <w:rFonts w:ascii="Times New Roman" w:cs="Times New Roman" w:eastAsia="Times New Roman" w:hAnsi="Times New Roman"/>
          <w:sz w:val="22"/>
          <w:szCs w:val="22"/>
          <w:color w:val="auto"/>
        </w:rPr>
        <w:t>. The Company shall, by 5:30 p.m. (New York City time) on the fourth Business Day following the date hereof, file a Current Report on Form 8-K disclosing the material terms of the transactions contemplated hereby (the “</w:t>
      </w:r>
      <w:r>
        <w:rPr>
          <w:rFonts w:ascii="Times New Roman" w:cs="Times New Roman" w:eastAsia="Times New Roman" w:hAnsi="Times New Roman"/>
          <w:sz w:val="22"/>
          <w:szCs w:val="22"/>
          <w:b w:val="1"/>
          <w:bCs w:val="1"/>
          <w:color w:val="auto"/>
        </w:rPr>
        <w:t>Form 8-K</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From and after the filing of the Form 8-K, the Investor shall not be in possession of any material, non-public information received from the Company or any of its officers, directors or employees that is not disclosed in the Form 8-K.</w:t>
      </w:r>
    </w:p>
    <w:p>
      <w:pPr>
        <w:spacing w:after="0" w:line="181"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Except with respect to the material terms and conditions of the transactions contemplated by the Transaction Documents (collectively, “</w:t>
      </w:r>
      <w:r>
        <w:rPr>
          <w:rFonts w:ascii="Times New Roman" w:cs="Times New Roman" w:eastAsia="Times New Roman" w:hAnsi="Times New Roman"/>
          <w:sz w:val="22"/>
          <w:szCs w:val="22"/>
          <w:b w:val="1"/>
          <w:bCs w:val="1"/>
          <w:color w:val="auto"/>
        </w:rPr>
        <w:t>Non-Public Information</w:t>
      </w:r>
      <w:r>
        <w:rPr>
          <w:rFonts w:ascii="Times New Roman" w:cs="Times New Roman" w:eastAsia="Times New Roman" w:hAnsi="Times New Roman"/>
          <w:sz w:val="22"/>
          <w:szCs w:val="22"/>
          <w:color w:val="auto"/>
        </w:rPr>
        <w:t>”), the Company covenants and agrees that neither it nor any other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acting on its behalf has provided or made available to the Investor, the Placement Agent or any of the Investor’s or Placement Agent’s agents or counsel with any information that the Company believes constitutes material non-public information.</w:t>
      </w:r>
    </w:p>
    <w:p>
      <w:pPr>
        <w:spacing w:after="0" w:line="181" w:lineRule="exact"/>
        <w:rPr>
          <w:sz w:val="20"/>
          <w:szCs w:val="20"/>
          <w:color w:val="auto"/>
        </w:rPr>
      </w:pPr>
    </w:p>
    <w:p>
      <w:pPr>
        <w:jc w:val="both"/>
        <w:ind w:left="180" w:right="1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Right of First Refusal</w:t>
      </w:r>
      <w:r>
        <w:rPr>
          <w:rFonts w:ascii="Times New Roman" w:cs="Times New Roman" w:eastAsia="Times New Roman" w:hAnsi="Times New Roman"/>
          <w:sz w:val="22"/>
          <w:szCs w:val="22"/>
          <w:color w:val="auto"/>
        </w:rPr>
        <w:t>. For a period of eighteen (18) months following the date of this Agreement, unless the Company shall have first delivered to the Investor at least two (2) Business Days prior to entering into any definitive agreement with respect to a proposed debt or equity financing (a “</w:t>
      </w:r>
      <w:r>
        <w:rPr>
          <w:rFonts w:ascii="Times New Roman" w:cs="Times New Roman" w:eastAsia="Times New Roman" w:hAnsi="Times New Roman"/>
          <w:sz w:val="22"/>
          <w:szCs w:val="22"/>
          <w:b w:val="1"/>
          <w:bCs w:val="1"/>
          <w:color w:val="auto"/>
        </w:rPr>
        <w:t>Contemplated Financing</w:t>
      </w:r>
      <w:r>
        <w:rPr>
          <w:rFonts w:ascii="Times New Roman" w:cs="Times New Roman" w:eastAsia="Times New Roman" w:hAnsi="Times New Roman"/>
          <w:sz w:val="22"/>
          <w:szCs w:val="22"/>
          <w:color w:val="auto"/>
        </w:rPr>
        <w:t>”) written notice describing the Contemplated Financing (a “</w:t>
      </w:r>
      <w:r>
        <w:rPr>
          <w:rFonts w:ascii="Times New Roman" w:cs="Times New Roman" w:eastAsia="Times New Roman" w:hAnsi="Times New Roman"/>
          <w:sz w:val="22"/>
          <w:szCs w:val="22"/>
          <w:b w:val="1"/>
          <w:bCs w:val="1"/>
          <w:color w:val="auto"/>
        </w:rPr>
        <w:t>ROFR Notice</w:t>
      </w:r>
      <w:r>
        <w:rPr>
          <w:rFonts w:ascii="Times New Roman" w:cs="Times New Roman" w:eastAsia="Times New Roman" w:hAnsi="Times New Roman"/>
          <w:sz w:val="22"/>
          <w:szCs w:val="22"/>
          <w:color w:val="auto"/>
        </w:rPr>
        <w:t>”), including the terms and conditions thereof, identity of the proposed investor(s) or financing parties and proposed definitive documentation to be entered into in connection therewith, and providing the Investor an option during the two (2) Business Day period following delivery of such notice to purchase the securities being offered or otherwise participate in the Contemplated Financing on the same terms as other investors in the Contemplated Financing, the Company will not conduct or complete any such Contemplated Financing. In the event the terms and conditions of a Contemplated Financing are amended in any</w:t>
      </w:r>
    </w:p>
    <w:p>
      <w:pPr>
        <w:spacing w:after="0" w:line="1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3" w:name="page64"/>
    <w:bookmarkEnd w:id="63"/>
    <w:p>
      <w:pPr>
        <w:jc w:val="both"/>
        <w:ind w:left="180" w:right="199"/>
        <w:spacing w:after="0" w:line="236" w:lineRule="auto"/>
        <w:rPr>
          <w:sz w:val="20"/>
          <w:szCs w:val="20"/>
          <w:color w:val="auto"/>
        </w:rPr>
      </w:pPr>
      <w:r>
        <w:rPr>
          <w:rFonts w:ascii="Times New Roman" w:cs="Times New Roman" w:eastAsia="Times New Roman" w:hAnsi="Times New Roman"/>
          <w:sz w:val="22"/>
          <w:szCs w:val="22"/>
          <w:color w:val="auto"/>
        </w:rPr>
        <w:t>material respect after delivery of the ROFR Notice to the Investor concerning the Contemplated Financing, the Company shall deliver a new ROFR Notice to the Investor describing the amended terms and conditions of the Contemplated Financing and the Investor thereafter shall have an option during the two (2) Business Day period following delivery of such new ROFR Notice to purchase its pro rata share of the securities being offered or otherwise participate on the same terms as contemplated by such amended Contemplated Financing.</w:t>
      </w:r>
    </w:p>
    <w:p>
      <w:pPr>
        <w:spacing w:after="0" w:line="17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ARTICLE V</w:t>
      </w:r>
    </w:p>
    <w:p>
      <w:pPr>
        <w:spacing w:after="0" w:line="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Company shall bear its own expenses incurred in connection with its negotiation, preparation, execution, delivery and performance of the Transaction Documents, including, without limitation, reasonable attorneys’ and consultants’ fees and expenses, fees relating to any amendments or modifications of the Transaction Documents or any consents or waivers of provisions in the Transaction Documents, fees for the preparation of opinions of counsel, escrow fees, and costs of any restructuring of the transactions contemplated by the Transaction Documents.</w:t>
      </w:r>
    </w:p>
    <w:p>
      <w:pPr>
        <w:spacing w:after="0" w:line="183"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77" w:lineRule="exact"/>
        <w:rPr>
          <w:sz w:val="20"/>
          <w:szCs w:val="20"/>
          <w:color w:val="auto"/>
        </w:rPr>
      </w:pPr>
    </w:p>
    <w:p>
      <w:pPr>
        <w:jc w:val="both"/>
        <w:ind w:left="18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or other communications or deliveries required or permitted to be provided hereunder shall be in writing and shall be deemed given and effective upon actual receipt via mail, courier or confirmed email by the party to whom such notice is required to be given. The address for such notices and communications shall be as set forth on the signature pages attached hereto or to such other persons or addresses as may be designated in writing by the party to receive such notice.</w:t>
      </w:r>
    </w:p>
    <w:p>
      <w:pPr>
        <w:spacing w:after="0" w:line="181"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No provision of this Agreement may be waived, modified, supplemented, or amended except in a written instrument signed, in the case of an amendment, by the Company and the Investor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78" w:lineRule="exact"/>
        <w:rPr>
          <w:sz w:val="20"/>
          <w:szCs w:val="20"/>
          <w:color w:val="auto"/>
        </w:rPr>
      </w:pPr>
    </w:p>
    <w:p>
      <w:pPr>
        <w:jc w:val="both"/>
        <w:ind w:left="180" w:right="199"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and inure to the benefit of the parties and their successors and permitted assigns. The Company may not assign this Agreement or any rights or obligations hereunder without the prior written consent of the Investor (other than by merger). The Investor may assign any or all of its rights under this Agreement to any Person to whom the Investor assigns or transfers any Shares, provided that such transfer complies with all applicable federal and State Securities Laws and that Investor obtains</w:t>
      </w:r>
    </w:p>
    <w:p>
      <w:pPr>
        <w:spacing w:after="0" w:line="17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jc w:val="both"/>
        <w:ind w:left="180" w:right="199"/>
        <w:spacing w:after="0" w:line="259" w:lineRule="auto"/>
        <w:rPr>
          <w:sz w:val="20"/>
          <w:szCs w:val="20"/>
          <w:color w:val="auto"/>
        </w:rPr>
      </w:pPr>
      <w:r>
        <w:rPr>
          <w:rFonts w:ascii="Times New Roman" w:cs="Times New Roman" w:eastAsia="Times New Roman" w:hAnsi="Times New Roman"/>
          <w:sz w:val="22"/>
          <w:szCs w:val="22"/>
          <w:color w:val="auto"/>
        </w:rPr>
        <w:t>the prior written consent of the Company (which consent shall not be required with respect to any assignment effected by merger).</w:t>
      </w:r>
    </w:p>
    <w:p>
      <w:pPr>
        <w:spacing w:after="0" w:line="157"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intended for the benefit of the parties hereto and their respective permitted successors and assigns. Except for the Placement Agent, who shall be a third party beneficiary of the representations, warranties and covenants of the Company and of the Investor in this Agreement, this Agreement is not for the benefit of, nor may any provision hereof be enforced by, any other Person.</w:t>
      </w:r>
    </w:p>
    <w:p>
      <w:pPr>
        <w:spacing w:after="0" w:line="177" w:lineRule="exact"/>
        <w:rPr>
          <w:sz w:val="20"/>
          <w:szCs w:val="20"/>
          <w:color w:val="auto"/>
        </w:rPr>
      </w:pPr>
    </w:p>
    <w:p>
      <w:pPr>
        <w:jc w:val="both"/>
        <w:ind w:left="180" w:right="19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State of New York. Each party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79"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178" w:lineRule="exact"/>
        <w:rPr>
          <w:sz w:val="20"/>
          <w:szCs w:val="20"/>
          <w:color w:val="auto"/>
        </w:rPr>
      </w:pPr>
    </w:p>
    <w:p>
      <w:pPr>
        <w:jc w:val="both"/>
        <w:ind w:left="180" w:right="1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w:t>
      </w:r>
    </w:p>
    <w:p>
      <w:pPr>
        <w:spacing w:after="0" w:line="1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5" w:name="page66"/>
    <w:bookmarkEnd w:id="65"/>
    <w:p>
      <w:pPr>
        <w:jc w:val="both"/>
        <w:ind w:left="180" w:right="199"/>
        <w:spacing w:after="0" w:line="238" w:lineRule="auto"/>
        <w:rPr>
          <w:sz w:val="20"/>
          <w:szCs w:val="20"/>
          <w:color w:val="auto"/>
        </w:rPr>
      </w:pPr>
      <w:r>
        <w:rPr>
          <w:rFonts w:ascii="Times New Roman" w:cs="Times New Roman" w:eastAsia="Times New Roman" w:hAnsi="Times New Roman"/>
          <w:sz w:val="22"/>
          <w:szCs w:val="22"/>
          <w:color w:val="auto"/>
        </w:rPr>
        <w:t>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7"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Replacement of Shares</w:t>
      </w:r>
      <w:r>
        <w:rPr>
          <w:rFonts w:ascii="Times New Roman" w:cs="Times New Roman" w:eastAsia="Times New Roman" w:hAnsi="Times New Roman"/>
          <w:sz w:val="22"/>
          <w:szCs w:val="22"/>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both"/>
        <w:ind w:left="180" w:right="1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addition to being entitled to exercise all rights provided herein or granted by law, including recovery of damages, each of the Investor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3" w:lineRule="exact"/>
        <w:rPr>
          <w:sz w:val="20"/>
          <w:szCs w:val="20"/>
          <w:color w:val="auto"/>
        </w:rPr>
      </w:pPr>
    </w:p>
    <w:p>
      <w:pPr>
        <w:jc w:val="both"/>
        <w:ind w:left="18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77" w:lineRule="exact"/>
        <w:rPr>
          <w:sz w:val="20"/>
          <w:szCs w:val="20"/>
          <w:color w:val="auto"/>
        </w:rPr>
      </w:pPr>
    </w:p>
    <w:p>
      <w:pPr>
        <w:jc w:val="both"/>
        <w:ind w:left="180" w:right="1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herein are for convenience only, do not constitute a part of this Agreement and shall not be deemed to limit or affect any of the provisions hereof.</w:t>
      </w:r>
    </w:p>
    <w:p>
      <w:pPr>
        <w:spacing w:after="0" w:line="158" w:lineRule="exact"/>
        <w:rPr>
          <w:sz w:val="20"/>
          <w:szCs w:val="20"/>
          <w:color w:val="auto"/>
        </w:rPr>
      </w:pPr>
    </w:p>
    <w:p>
      <w:pPr>
        <w:jc w:val="both"/>
        <w:ind w:left="180" w:right="199" w:firstLine="648"/>
        <w:spacing w:after="0" w:line="251"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220980</wp:posOffset>
            </wp:positionV>
            <wp:extent cx="552894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6" w:name="page67"/>
    <w:bookmarkEnd w:id="66"/>
    <w:p>
      <w:pPr>
        <w:ind w:left="180" w:right="19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Preferred Stock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be duly executed by their respective authorized signatories as of the date below.</w:t>
      </w:r>
    </w:p>
    <w:p>
      <w:pPr>
        <w:spacing w:after="0" w:line="1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AQUABOUNTY TECHNOLOGIES, INC.</w:t>
      </w: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 David A. Frank</w:t>
      </w:r>
    </w:p>
    <w:p>
      <w:pPr>
        <w:ind w:left="4740"/>
        <w:spacing w:after="0"/>
        <w:rPr>
          <w:sz w:val="20"/>
          <w:szCs w:val="20"/>
          <w:color w:val="auto"/>
        </w:rPr>
      </w:pPr>
      <w:r>
        <w:rPr>
          <w:rFonts w:ascii="Times New Roman" w:cs="Times New Roman" w:eastAsia="Times New Roman" w:hAnsi="Times New Roman"/>
          <w:sz w:val="22"/>
          <w:szCs w:val="22"/>
          <w:color w:val="auto"/>
        </w:rPr>
        <w:t>Title: Interim Chief Executive Officer</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3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AquaBounty Technologies, Inc.</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233 Ayer Road, Suite 4</w:t>
      </w:r>
    </w:p>
    <w:p>
      <w:pPr>
        <w:ind w:left="4740"/>
        <w:spacing w:after="0" w:line="230" w:lineRule="auto"/>
        <w:rPr>
          <w:sz w:val="20"/>
          <w:szCs w:val="20"/>
          <w:color w:val="auto"/>
        </w:rPr>
      </w:pPr>
      <w:r>
        <w:rPr>
          <w:rFonts w:ascii="Times New Roman" w:cs="Times New Roman" w:eastAsia="Times New Roman" w:hAnsi="Times New Roman"/>
          <w:sz w:val="22"/>
          <w:szCs w:val="22"/>
          <w:color w:val="auto"/>
        </w:rPr>
        <w:t>Harvard, Massachusetts 01451</w:t>
      </w:r>
    </w:p>
    <w:p>
      <w:pPr>
        <w:ind w:left="4740"/>
        <w:spacing w:after="0" w:line="231" w:lineRule="auto"/>
        <w:rPr>
          <w:sz w:val="20"/>
          <w:szCs w:val="20"/>
          <w:color w:val="auto"/>
        </w:rPr>
      </w:pPr>
      <w:r>
        <w:rPr>
          <w:rFonts w:ascii="Times New Roman" w:cs="Times New Roman" w:eastAsia="Times New Roman" w:hAnsi="Times New Roman"/>
          <w:sz w:val="22"/>
          <w:szCs w:val="22"/>
          <w:color w:val="auto"/>
        </w:rPr>
        <w:t>Attention: David A. Frank</w:t>
      </w:r>
    </w:p>
    <w:p>
      <w:pPr>
        <w:ind w:left="4740"/>
        <w:spacing w:after="0"/>
        <w:rPr>
          <w:sz w:val="20"/>
          <w:szCs w:val="20"/>
          <w:color w:val="auto"/>
        </w:rPr>
      </w:pPr>
      <w:r>
        <w:rPr>
          <w:rFonts w:ascii="Times New Roman" w:cs="Times New Roman" w:eastAsia="Times New Roman" w:hAnsi="Times New Roman"/>
          <w:sz w:val="22"/>
          <w:szCs w:val="22"/>
          <w:color w:val="auto"/>
        </w:rPr>
        <w:t>Email: dfrank@aquabounty.com</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With a copy to (which shall not constitute</w:t>
      </w:r>
    </w:p>
    <w:p>
      <w:pPr>
        <w:spacing w:after="0" w:line="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notice):</w:t>
      </w:r>
    </w:p>
    <w:p>
      <w:pPr>
        <w:spacing w:after="0" w:line="2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FBT Gibbons LLP</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325 West Main Street, Suite 301</w:t>
      </w:r>
    </w:p>
    <w:p>
      <w:pPr>
        <w:ind w:left="4740"/>
        <w:spacing w:after="0" w:line="230" w:lineRule="auto"/>
        <w:rPr>
          <w:sz w:val="20"/>
          <w:szCs w:val="20"/>
          <w:color w:val="auto"/>
        </w:rPr>
      </w:pPr>
      <w:r>
        <w:rPr>
          <w:rFonts w:ascii="Times New Roman" w:cs="Times New Roman" w:eastAsia="Times New Roman" w:hAnsi="Times New Roman"/>
          <w:sz w:val="22"/>
          <w:szCs w:val="22"/>
          <w:color w:val="auto"/>
        </w:rPr>
        <w:t>Lexington, Kentucky 40507</w:t>
      </w:r>
    </w:p>
    <w:p>
      <w:pPr>
        <w:ind w:left="4740"/>
        <w:spacing w:after="0" w:line="231" w:lineRule="auto"/>
        <w:rPr>
          <w:sz w:val="20"/>
          <w:szCs w:val="20"/>
          <w:color w:val="auto"/>
        </w:rPr>
      </w:pPr>
      <w:r>
        <w:rPr>
          <w:rFonts w:ascii="Times New Roman" w:cs="Times New Roman" w:eastAsia="Times New Roman" w:hAnsi="Times New Roman"/>
          <w:sz w:val="22"/>
          <w:szCs w:val="22"/>
          <w:color w:val="auto"/>
        </w:rPr>
        <w:t>Attention: Jeff Hallos</w:t>
      </w:r>
    </w:p>
    <w:p>
      <w:pPr>
        <w:ind w:left="4740"/>
        <w:spacing w:after="0"/>
        <w:rPr>
          <w:sz w:val="20"/>
          <w:szCs w:val="20"/>
          <w:color w:val="auto"/>
        </w:rPr>
      </w:pPr>
      <w:r>
        <w:rPr>
          <w:rFonts w:ascii="Times New Roman" w:cs="Times New Roman" w:eastAsia="Times New Roman" w:hAnsi="Times New Roman"/>
          <w:sz w:val="22"/>
          <w:szCs w:val="22"/>
          <w:color w:val="auto"/>
        </w:rPr>
        <w:t>E-mail: jhallos@fbtgibbons.com</w:t>
      </w: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The Investor executing the Signature Page in</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xml:space="preserve">the form </w:t>
      </w:r>
      <w:r>
        <w:rPr>
          <w:rFonts w:ascii="Times New Roman" w:cs="Times New Roman" w:eastAsia="Times New Roman" w:hAnsi="Times New Roman"/>
          <w:sz w:val="22"/>
          <w:szCs w:val="22"/>
          <w:b w:val="1"/>
          <w:bCs w:val="1"/>
          <w:color w:val="auto"/>
        </w:rPr>
        <w:t>attached</w:t>
      </w:r>
      <w:r>
        <w:rPr>
          <w:rFonts w:ascii="Times New Roman" w:cs="Times New Roman" w:eastAsia="Times New Roman" w:hAnsi="Times New Roman"/>
          <w:sz w:val="22"/>
          <w:szCs w:val="22"/>
          <w:color w:val="auto"/>
        </w:rPr>
        <w:t xml:space="preserve"> hereto as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and</w:t>
      </w:r>
    </w:p>
    <w:p>
      <w:pPr>
        <w:ind w:left="4740"/>
        <w:spacing w:after="0" w:line="230" w:lineRule="auto"/>
        <w:rPr>
          <w:sz w:val="20"/>
          <w:szCs w:val="20"/>
          <w:color w:val="auto"/>
        </w:rPr>
      </w:pPr>
      <w:r>
        <w:rPr>
          <w:rFonts w:ascii="Times New Roman" w:cs="Times New Roman" w:eastAsia="Times New Roman" w:hAnsi="Times New Roman"/>
          <w:sz w:val="22"/>
          <w:szCs w:val="22"/>
          <w:color w:val="auto"/>
        </w:rPr>
        <w:t>delivering the same to the Company or its</w:t>
      </w:r>
    </w:p>
    <w:p>
      <w:pPr>
        <w:ind w:left="4740"/>
        <w:spacing w:after="0" w:line="231" w:lineRule="auto"/>
        <w:rPr>
          <w:sz w:val="20"/>
          <w:szCs w:val="20"/>
          <w:color w:val="auto"/>
        </w:rPr>
      </w:pPr>
      <w:r>
        <w:rPr>
          <w:rFonts w:ascii="Times New Roman" w:cs="Times New Roman" w:eastAsia="Times New Roman" w:hAnsi="Times New Roman"/>
          <w:sz w:val="22"/>
          <w:szCs w:val="22"/>
          <w:color w:val="auto"/>
        </w:rPr>
        <w:t>agents shall be deemed to have executed this</w:t>
      </w:r>
    </w:p>
    <w:p>
      <w:pPr>
        <w:ind w:left="4740"/>
        <w:spacing w:after="0"/>
        <w:rPr>
          <w:sz w:val="20"/>
          <w:szCs w:val="20"/>
          <w:color w:val="auto"/>
        </w:rPr>
      </w:pPr>
      <w:r>
        <w:rPr>
          <w:rFonts w:ascii="Times New Roman" w:cs="Times New Roman" w:eastAsia="Times New Roman" w:hAnsi="Times New Roman"/>
          <w:sz w:val="22"/>
          <w:szCs w:val="22"/>
          <w:color w:val="auto"/>
        </w:rPr>
        <w:t>Agreement and agreed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951865</wp:posOffset>
            </wp:positionV>
            <wp:extent cx="552894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 PURCHASE AGREEMENT Investor Counterpart Signature Page</w:t>
      </w:r>
    </w:p>
    <w:p>
      <w:pPr>
        <w:spacing w:after="0" w:line="210" w:lineRule="exact"/>
        <w:rPr>
          <w:sz w:val="20"/>
          <w:szCs w:val="20"/>
          <w:color w:val="auto"/>
        </w:rPr>
      </w:pPr>
    </w:p>
    <w:p>
      <w:pPr>
        <w:jc w:val="both"/>
        <w:ind w:left="180" w:right="199" w:firstLine="648"/>
        <w:spacing w:after="0" w:line="234" w:lineRule="auto"/>
        <w:rPr>
          <w:sz w:val="20"/>
          <w:szCs w:val="20"/>
          <w:color w:val="auto"/>
        </w:rPr>
      </w:pPr>
      <w:r>
        <w:rPr>
          <w:rFonts w:ascii="Times New Roman" w:cs="Times New Roman" w:eastAsia="Times New Roman" w:hAnsi="Times New Roman"/>
          <w:sz w:val="22"/>
          <w:szCs w:val="22"/>
          <w:color w:val="auto"/>
        </w:rPr>
        <w:t>The undersigned, desiring to: (i) enter into this Preferred Stock Purchase Agreement dated as of April 7, 2026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AquaBounty Technologies,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in or substantially in the form furnished to the undersigned and (ii) purchase the Shares as set forth below, hereby agrees to purchase such Shares from the Company as of the Closing and further agrees to join the Agreement as a party thereto, with all the rights and privileges appertaining thereto, and to be bound in all respects by the terms and conditions thereof. The undersigned specifically acknowledges having read the representations in this Agreement’s section entitled “Representations and Warranties of the Investor”, and hereby represents that the statements contained therein are complete and accurate with respect to the undersigned as the Investor.</w:t>
      </w:r>
    </w:p>
    <w:p>
      <w:pPr>
        <w:spacing w:after="0" w:line="17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200" w:lineRule="exact"/>
        <w:rPr>
          <w:sz w:val="20"/>
          <w:szCs w:val="20"/>
          <w:color w:val="auto"/>
        </w:rPr>
      </w:pPr>
    </w:p>
    <w:p>
      <w:pPr>
        <w:spacing w:after="0" w:line="2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w:t>
      </w:r>
    </w:p>
    <w:p>
      <w:pPr>
        <w:ind w:left="4900"/>
        <w:spacing w:after="0"/>
        <w:rPr>
          <w:sz w:val="20"/>
          <w:szCs w:val="20"/>
          <w:color w:val="auto"/>
        </w:rPr>
      </w:pPr>
      <w:r>
        <w:rPr>
          <w:rFonts w:ascii="Times New Roman" w:cs="Times New Roman" w:eastAsia="Times New Roman" w:hAnsi="Times New Roman"/>
          <w:sz w:val="22"/>
          <w:szCs w:val="22"/>
          <w:color w:val="auto"/>
        </w:rPr>
        <w:t>Title:</w:t>
      </w:r>
    </w:p>
    <w:p>
      <w:pPr>
        <w:spacing w:after="0" w:line="2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3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3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With a copy to (which shall not constitute</w:t>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notice):</w:t>
      </w:r>
    </w:p>
    <w:p>
      <w:pPr>
        <w:spacing w:after="0" w:line="2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3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Attention: ___________________________</w:t>
      </w:r>
    </w:p>
    <w:p>
      <w:pPr>
        <w:spacing w:after="0" w:line="14" w:lineRule="exact"/>
        <w:rPr>
          <w:sz w:val="20"/>
          <w:szCs w:val="20"/>
          <w:color w:val="auto"/>
        </w:rPr>
      </w:pPr>
    </w:p>
    <w:p>
      <w:pPr>
        <w:ind w:left="4900"/>
        <w:spacing w:after="0"/>
        <w:tabs>
          <w:tab w:leader="none" w:pos="57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80" w:type="dxa"/>
        <w:tblCellMar>
          <w:top w:w="0" w:type="dxa"/>
          <w:left w:w="0" w:type="dxa"/>
          <w:bottom w:w="0" w:type="dxa"/>
          <w:right w:w="0" w:type="dxa"/>
        </w:tblCellMar>
      </w:tblPr>
      <w:tr>
        <w:trPr>
          <w:trHeight w:val="286"/>
        </w:trPr>
        <w:tc>
          <w:tcPr>
            <w:tcW w:w="32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Purchase Price:</w:t>
            </w:r>
          </w:p>
        </w:tc>
        <w:tc>
          <w:tcPr>
            <w:tcW w:w="5460" w:type="dxa"/>
            <w:vAlign w:val="bottom"/>
          </w:tcPr>
          <w:p>
            <w:pPr>
              <w:ind w:left="1760"/>
              <w:spacing w:after="0"/>
              <w:rPr>
                <w:sz w:val="20"/>
                <w:szCs w:val="20"/>
                <w:color w:val="auto"/>
              </w:rPr>
            </w:pPr>
            <w:r>
              <w:rPr>
                <w:rFonts w:ascii="Times New Roman" w:cs="Times New Roman" w:eastAsia="Times New Roman" w:hAnsi="Times New Roman"/>
                <w:sz w:val="22"/>
                <w:szCs w:val="22"/>
                <w:b w:val="1"/>
                <w:bCs w:val="1"/>
                <w:color w:val="auto"/>
              </w:rPr>
              <w:t>$_____</w:t>
            </w:r>
          </w:p>
        </w:tc>
      </w:tr>
      <w:tr>
        <w:trPr>
          <w:trHeight w:val="297"/>
        </w:trPr>
        <w:tc>
          <w:tcPr>
            <w:tcW w:w="32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Shares Issued to Investor:</w:t>
            </w:r>
          </w:p>
        </w:tc>
        <w:tc>
          <w:tcPr>
            <w:tcW w:w="5460" w:type="dxa"/>
            <w:vAlign w:val="bottom"/>
          </w:tcPr>
          <w:p>
            <w:pPr>
              <w:ind w:left="1760"/>
              <w:spacing w:after="0"/>
              <w:rPr>
                <w:sz w:val="20"/>
                <w:szCs w:val="20"/>
                <w:color w:val="auto"/>
              </w:rPr>
            </w:pPr>
            <w:r>
              <w:rPr>
                <w:rFonts w:ascii="Times New Roman" w:cs="Times New Roman" w:eastAsia="Times New Roman" w:hAnsi="Times New Roman"/>
                <w:sz w:val="22"/>
                <w:szCs w:val="22"/>
                <w:b w:val="1"/>
                <w:bCs w:val="1"/>
                <w:color w:val="auto"/>
              </w:rPr>
              <w:t>________</w:t>
            </w:r>
          </w:p>
        </w:tc>
      </w:tr>
      <w:tr>
        <w:trPr>
          <w:trHeight w:val="532"/>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0147620.0810887  4919-2766-1982v2</w:t>
            </w:r>
          </w:p>
        </w:tc>
        <w:tc>
          <w:tcPr>
            <w:tcW w:w="5460" w:type="dxa"/>
            <w:vAlign w:val="bottom"/>
          </w:tcPr>
          <w:p>
            <w:pPr>
              <w:spacing w:after="0"/>
              <w:rPr>
                <w:sz w:val="24"/>
                <w:szCs w:val="24"/>
                <w:color w:val="auto"/>
              </w:rPr>
            </w:pPr>
          </w:p>
        </w:tc>
      </w:tr>
      <w:tr>
        <w:trPr>
          <w:trHeight w:val="434"/>
        </w:trPr>
        <w:tc>
          <w:tcPr>
            <w:tcW w:w="3220" w:type="dxa"/>
            <w:vAlign w:val="bottom"/>
          </w:tcPr>
          <w:p>
            <w:pPr>
              <w:spacing w:after="0"/>
              <w:rPr>
                <w:sz w:val="24"/>
                <w:szCs w:val="24"/>
                <w:color w:val="auto"/>
              </w:rPr>
            </w:pPr>
          </w:p>
        </w:tc>
        <w:tc>
          <w:tcPr>
            <w:tcW w:w="54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Exhibit A</w:t>
            </w:r>
          </w:p>
        </w:tc>
      </w:tr>
      <w:tr>
        <w:trPr>
          <w:trHeight w:val="102"/>
        </w:trPr>
        <w:tc>
          <w:tcPr>
            <w:tcW w:w="3220" w:type="dxa"/>
            <w:vAlign w:val="bottom"/>
            <w:tcBorders>
              <w:bottom w:val="single" w:sz="8" w:color="9A9A9A"/>
            </w:tcBorders>
          </w:tcPr>
          <w:p>
            <w:pPr>
              <w:spacing w:after="0"/>
              <w:rPr>
                <w:sz w:val="8"/>
                <w:szCs w:val="8"/>
                <w:color w:val="auto"/>
              </w:rPr>
            </w:pPr>
          </w:p>
        </w:tc>
        <w:tc>
          <w:tcPr>
            <w:tcW w:w="5460" w:type="dxa"/>
            <w:vAlign w:val="bottom"/>
            <w:tcBorders>
              <w:bottom w:val="single" w:sz="8" w:color="9A9A9A"/>
            </w:tcBorders>
          </w:tcPr>
          <w:p>
            <w:pPr>
              <w:spacing w:after="0"/>
              <w:rPr>
                <w:sz w:val="8"/>
                <w:szCs w:val="8"/>
                <w:color w:val="auto"/>
              </w:rPr>
            </w:pPr>
          </w:p>
        </w:tc>
      </w:tr>
      <w:tr>
        <w:trPr>
          <w:trHeight w:val="20"/>
        </w:trPr>
        <w:tc>
          <w:tcPr>
            <w:tcW w:w="3220" w:type="dxa"/>
            <w:vAlign w:val="bottom"/>
            <w:tcBorders>
              <w:bottom w:val="single" w:sz="8" w:color="EEEEEE"/>
            </w:tcBorders>
          </w:tcPr>
          <w:p>
            <w:pPr>
              <w:spacing w:after="0" w:line="20" w:lineRule="exact"/>
              <w:rPr>
                <w:sz w:val="1"/>
                <w:szCs w:val="1"/>
                <w:color w:val="auto"/>
              </w:rPr>
            </w:pPr>
          </w:p>
        </w:tc>
        <w:tc>
          <w:tcPr>
            <w:tcW w:w="54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8" w:name="page69"/>
    <w:bookmarkEnd w:id="68"/>
    <w:p>
      <w:pPr>
        <w:ind w:left="1480"/>
        <w:spacing w:after="0"/>
        <w:rPr>
          <w:sz w:val="20"/>
          <w:szCs w:val="20"/>
          <w:color w:val="auto"/>
        </w:rPr>
      </w:pPr>
      <w:r>
        <w:rPr>
          <w:rFonts w:ascii="Times New Roman" w:cs="Times New Roman" w:eastAsia="Times New Roman" w:hAnsi="Times New Roman"/>
          <w:sz w:val="22"/>
          <w:szCs w:val="22"/>
          <w:color w:val="auto"/>
        </w:rPr>
        <w:t>Exhibit 10.3</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162"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8"/>
          <w:szCs w:val="18"/>
          <w:color w:val="auto"/>
        </w:rPr>
        <w:t>April 7, 2026</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Univest Securities, LLC</w:t>
      </w:r>
    </w:p>
    <w:p>
      <w:pPr>
        <w:ind w:left="180"/>
        <w:spacing w:after="0" w:line="203" w:lineRule="auto"/>
        <w:rPr>
          <w:sz w:val="20"/>
          <w:szCs w:val="20"/>
          <w:color w:val="auto"/>
        </w:rPr>
      </w:pPr>
      <w:r>
        <w:rPr>
          <w:rFonts w:ascii="Times New Roman" w:cs="Times New Roman" w:eastAsia="Times New Roman" w:hAnsi="Times New Roman"/>
          <w:sz w:val="18"/>
          <w:szCs w:val="18"/>
          <w:color w:val="auto"/>
        </w:rPr>
        <w:t>75 Rockefeller Plaza, Suite 18C</w:t>
      </w:r>
    </w:p>
    <w:p>
      <w:pPr>
        <w:ind w:left="1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4" w:lineRule="exact"/>
        <w:rPr>
          <w:sz w:val="20"/>
          <w:szCs w:val="20"/>
          <w:color w:val="auto"/>
        </w:rPr>
      </w:pPr>
    </w:p>
    <w:p>
      <w:pPr>
        <w:jc w:val="both"/>
        <w:ind w:left="180" w:right="199" w:firstLine="648"/>
        <w:spacing w:after="0" w:line="230" w:lineRule="auto"/>
        <w:rPr>
          <w:sz w:val="20"/>
          <w:szCs w:val="20"/>
          <w:color w:val="auto"/>
        </w:rPr>
      </w:pPr>
      <w:r>
        <w:rPr>
          <w:rFonts w:ascii="Times New Roman" w:cs="Times New Roman" w:eastAsia="Times New Roman" w:hAnsi="Times New Roman"/>
          <w:sz w:val="17"/>
          <w:szCs w:val="17"/>
          <w:color w:val="auto"/>
        </w:rPr>
        <w:t>This letter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constitutes the agreement by and between Univest Securities, LLC (“</w:t>
      </w:r>
      <w:r>
        <w:rPr>
          <w:rFonts w:ascii="Times New Roman" w:cs="Times New Roman" w:eastAsia="Times New Roman" w:hAnsi="Times New Roman"/>
          <w:sz w:val="17"/>
          <w:szCs w:val="17"/>
          <w:b w:val="1"/>
          <w:bCs w:val="1"/>
          <w:color w:val="auto"/>
        </w:rPr>
        <w:t>Univest</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Placement Agent</w:t>
      </w:r>
      <w:r>
        <w:rPr>
          <w:rFonts w:ascii="Times New Roman" w:cs="Times New Roman" w:eastAsia="Times New Roman" w:hAnsi="Times New Roman"/>
          <w:sz w:val="17"/>
          <w:szCs w:val="17"/>
          <w:color w:val="auto"/>
        </w:rPr>
        <w:t>”) and AquaBounty Technologies,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pursuant to which the Placement Agent shall serve as the placement agent for the Company, on a “reasonable best efforts” basis, in</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connection with (i) the proposed exchange transactions pursuant to which certain holders of approximately $4,400,000 of the Company’s outstanding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will exchange all or a portion of such Notes for shares of newly created Series A Convertible Preferred Stock of the Company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and, if applicable, any shares of</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Common Stock of the Company issuable upon conversion thereof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and (ii) the proposed placement for cash of up to $600,000 of the Securities (the “</w:t>
      </w:r>
      <w:r>
        <w:rPr>
          <w:rFonts w:ascii="Times New Roman" w:cs="Times New Roman" w:eastAsia="Times New Roman" w:hAnsi="Times New Roman"/>
          <w:sz w:val="18"/>
          <w:szCs w:val="18"/>
          <w:b w:val="1"/>
          <w:bCs w:val="1"/>
          <w:color w:val="auto"/>
        </w:rPr>
        <w:t>Cash Placement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Note Exchange, the “</w:t>
      </w:r>
      <w:r>
        <w:rPr>
          <w:rFonts w:ascii="Times New Roman" w:cs="Times New Roman" w:eastAsia="Times New Roman" w:hAnsi="Times New Roman"/>
          <w:sz w:val="18"/>
          <w:szCs w:val="18"/>
          <w:b w:val="1"/>
          <w:bCs w:val="1"/>
          <w:color w:val="auto"/>
        </w:rPr>
        <w:t>Placements</w:t>
      </w:r>
      <w:r>
        <w:rPr>
          <w:rFonts w:ascii="Times New Roman" w:cs="Times New Roman" w:eastAsia="Times New Roman" w:hAnsi="Times New Roman"/>
          <w:sz w:val="18"/>
          <w:szCs w:val="18"/>
          <w:color w:val="auto"/>
        </w:rPr>
        <w:t>”) in a private placement transaction exempt from registration under</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the Securities Act of 1933, as amended. The terms of the Placements and the Securities shall be mutually agreed upon by the Company and the purchasers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nothing herein shall be deemed to mean that the Placement Agent would have the power or authority to bind the Company or any Purchaser</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or an obligation for the Company to issue any Securities or complete the Placements. This Agreement and the documents executed and delivered by the Company and the Purchasers in connection with the Placements, including but not limited to the Purchase Agreement (as defined below), and the Disclosure Package (as defined below) shall be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collectively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The date of the closing of the Placements shall be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 expressly acknowledges and agrees that the obligations of the Placement Agent hereunder are on a reasonable best efforts basis only and that the execution of this Agreement does</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not constitute a commitment by the Placement Agent to purchase the Securities and does not ensure the successful placement of the Securities or any portion thereof or the success of the Placement Agent with respect to securing any other financing on behalf of the Company. Following the prior written consent of the Company, the Placement Agent</w:t>
      </w:r>
    </w:p>
    <w:p>
      <w:pPr>
        <w:spacing w:after="0" w:line="2" w:lineRule="exact"/>
        <w:rPr>
          <w:sz w:val="20"/>
          <w:szCs w:val="20"/>
          <w:color w:val="auto"/>
        </w:rPr>
      </w:pPr>
    </w:p>
    <w:p>
      <w:pPr>
        <w:jc w:val="both"/>
        <w:ind w:left="180" w:right="199"/>
        <w:spacing w:after="0" w:line="207" w:lineRule="auto"/>
        <w:rPr>
          <w:sz w:val="20"/>
          <w:szCs w:val="20"/>
          <w:color w:val="auto"/>
        </w:rPr>
      </w:pPr>
      <w:r>
        <w:rPr>
          <w:rFonts w:ascii="Times New Roman" w:cs="Times New Roman" w:eastAsia="Times New Roman" w:hAnsi="Times New Roman"/>
          <w:sz w:val="18"/>
          <w:szCs w:val="18"/>
          <w:color w:val="auto"/>
        </w:rPr>
        <w:t>may retain other brokers or dealers to act as sub-agents or selected-dealers on its behalf in connection with the Placements. The sale of the Securities to any Purchaser will be evidenced by (i) an Exchange Agreement, with respect to the Note Exchange, or (ii) a Securities Purchase Agreement, with respect to the Cash Placement, (as applicable, each a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”).between the Company and such Purchaser in a form mutually agreed upon by the Company</w:t>
      </w:r>
    </w:p>
    <w:p>
      <w:pPr>
        <w:spacing w:after="0" w:line="1"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and the Placement Agent. Capitalized terms that are not otherwise defined herein have the meanings given to such terms in the Purchase Agreement. Prior to the signing of any Purchase Agreement, (i) the Placement Agent will have delivered to each purchaser the Transaction Documents (as defined herein) and all other documents, if any, provided to</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the Placement by the Company for use in connection with the Offering (as defined below), and (ii) executive officers of the Company will be available upon reasonable notice and during normal business hours to answer inquiries from prospective Purchasers.</w:t>
      </w:r>
    </w:p>
    <w:p>
      <w:pPr>
        <w:spacing w:after="0" w:line="131" w:lineRule="exact"/>
        <w:rPr>
          <w:sz w:val="20"/>
          <w:szCs w:val="20"/>
          <w:color w:val="auto"/>
        </w:rPr>
      </w:pPr>
    </w:p>
    <w:p>
      <w:pPr>
        <w:jc w:val="both"/>
        <w:ind w:left="180" w:right="199" w:firstLine="648"/>
        <w:spacing w:after="0" w:line="222"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the Placement Agent determines that any of the terms provided for hereunder do not comply with a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including but not limited to FINRA Rule 5110, then the Company shall agree to amend this Agreement in writing upon the request of the Placement Agent to comply with any such rules; provided that any such amendments shall not provide for terms that are less favorable to the Company than the terms of this Agreement or terms that are adverse to</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80" w:right="199" w:firstLine="652"/>
        <w:spacing w:after="0" w:line="237" w:lineRule="auto"/>
        <w:tabs>
          <w:tab w:leader="none" w:pos="110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 shall be the exclusive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107950</wp:posOffset>
            </wp:positionV>
            <wp:extent cx="552894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9" w:name="page70"/>
    <w:bookmarkEnd w:id="69"/>
    <w:p>
      <w:pPr>
        <w:jc w:val="both"/>
        <w:ind w:left="180" w:right="199"/>
        <w:spacing w:after="0" w:line="223" w:lineRule="auto"/>
        <w:rPr>
          <w:sz w:val="20"/>
          <w:szCs w:val="20"/>
          <w:color w:val="auto"/>
        </w:rPr>
      </w:pPr>
      <w:r>
        <w:rPr>
          <w:rFonts w:ascii="Times New Roman" w:cs="Times New Roman" w:eastAsia="Times New Roman" w:hAnsi="Times New Roman"/>
          <w:sz w:val="18"/>
          <w:szCs w:val="18"/>
          <w:color w:val="auto"/>
        </w:rPr>
        <w:t>in connection with the offering and sale by the Company of the Securities in the private placement transaction contemplated by this Agreement, with the terms of such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be subject to market conditions</w:t>
      </w: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and negotiations between the Company, the Placement Agent and the prospective Purchasers. The Placement Agent will act on a reasonable best efforts basis and the Company agrees and acknowledges that there is no guarantee of the successful placement of the Securities, or any portion thereof, in the prospective Offering. Under no circumstances will</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one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As compensation for services rendered, on the Closing Date, the Company shall pay to the Placement Agent a cash fee equal to seven percent (7%) of the aggregate gross cash proceeds actually received by the Company in the Cash Placement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For the avoidance of doubt, no fee shall be payable</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with respect to any Securities issued in the Note Exchange (or any other non-cash consideration), and only cash actually received by the Company in the Cash Placement shall be included in the calculation of the Cash Fee. No reimbursement of expenses shall be payable to the Placement Agent in connection with the Placements, except as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expressly provided in the indemnification provisions of this Agreement.</w:t>
      </w:r>
    </w:p>
    <w:p>
      <w:pPr>
        <w:spacing w:after="0" w:line="124" w:lineRule="exact"/>
        <w:rPr>
          <w:sz w:val="20"/>
          <w:szCs w:val="20"/>
          <w:color w:val="auto"/>
        </w:rPr>
      </w:pPr>
    </w:p>
    <w:p>
      <w:pPr>
        <w:jc w:val="both"/>
        <w:ind w:left="180" w:right="199" w:firstLine="652"/>
        <w:spacing w:after="0" w:line="212" w:lineRule="auto"/>
        <w:tabs>
          <w:tab w:leader="none" w:pos="108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Placement Agent’s exclusive engagement shall begin on the date hereof and continue until the earlier of (i) the Closing Date (the “</w:t>
      </w:r>
      <w:r>
        <w:rPr>
          <w:rFonts w:ascii="Times New Roman" w:cs="Times New Roman" w:eastAsia="Times New Roman" w:hAnsi="Times New Roman"/>
          <w:sz w:val="18"/>
          <w:szCs w:val="18"/>
          <w:b w:val="1"/>
          <w:bCs w:val="1"/>
          <w:color w:val="auto"/>
        </w:rPr>
        <w:t>Exclusive Term</w:t>
      </w:r>
      <w:r>
        <w:rPr>
          <w:rFonts w:ascii="Times New Roman" w:cs="Times New Roman" w:eastAsia="Times New Roman" w:hAnsi="Times New Roman"/>
          <w:sz w:val="18"/>
          <w:szCs w:val="18"/>
          <w:color w:val="auto"/>
        </w:rPr>
        <w:t>”), and (ii) the date the Placement Agent or the Company terminates the engagement according to the terms of the next sentence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and the period of time during which this Agreement remains in effect is referred to herein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The engagement may be terminated at any time by either party hereto upon seven (7) days written notice to the other party, effective upon receipt of written notice to that effect by the other party. Unless otherwise provided under this Agreement, the provisions concerning the Company’s obligation to pay any fees actually earned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hereof, the Company’s obligations contained in the indemnification provisions, and the provisions concerning indemnification and contribution contained herein will survive any expiration or termination of this Agreement for any reason. All fees due to the Placement Agent shall be paid by the Company to the Placement Agent on or before the Termination Date (in the event such fees are earned or owed as of the Termination Date). Furthermore, the Company agrees that during the Placement Agent’s engagement hereunder, all inquiries from prospective U.S. Purchasers with respect to the Offering will be referred to the Placement Agent. Additionally, except as set forth hereunder or otherwise disclosed to the Placement Agent in writing, the Company represents, warrants and covenants that no brokerage or finder’s fees or commissions are or will be payable by the Company or any subsidiary of the Company to any broker, financial advisor or consultant, finder, placement agent, investment banker, bank or other third-party with respect to the Offering.</w:t>
      </w:r>
    </w:p>
    <w:p>
      <w:pPr>
        <w:spacing w:after="0" w:line="139" w:lineRule="exact"/>
        <w:rPr>
          <w:sz w:val="20"/>
          <w:szCs w:val="20"/>
          <w:color w:val="auto"/>
        </w:rPr>
      </w:pPr>
    </w:p>
    <w:p>
      <w:pPr>
        <w:jc w:val="both"/>
        <w:ind w:left="180" w:right="199" w:firstLine="648"/>
        <w:spacing w:after="0" w:line="216" w:lineRule="auto"/>
        <w:rPr>
          <w:sz w:val="20"/>
          <w:szCs w:val="20"/>
          <w:color w:val="auto"/>
        </w:rPr>
      </w:pPr>
      <w:r>
        <w:rPr>
          <w:rFonts w:ascii="Times New Roman" w:cs="Times New Roman" w:eastAsia="Times New Roman" w:hAnsi="Times New Roman"/>
          <w:sz w:val="18"/>
          <w:szCs w:val="18"/>
          <w:color w:val="auto"/>
        </w:rPr>
        <w:t>The services provided by the Placement Agent hereunder are solely for the benefit of the Company and are not intended to confer any rights upon any persons or entities not a party hereto (including, without limitation, security holders, employees or creditors of the Company) as against the Placement Agent or its directors, officers, agents and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employees.</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2. Representations, Warranties and Covenants of the Company</w:t>
      </w:r>
      <w:r>
        <w:rPr>
          <w:rFonts w:ascii="Times New Roman" w:cs="Times New Roman" w:eastAsia="Times New Roman" w:hAnsi="Times New Roman"/>
          <w:sz w:val="18"/>
          <w:szCs w:val="18"/>
          <w:color w:val="auto"/>
        </w:rPr>
        <w:t>. The Company hereby represents and</w:t>
      </w:r>
    </w:p>
    <w:p>
      <w:pPr>
        <w:spacing w:after="0" w:line="6"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warrants to the Placement Agent that the following is true and correct as of the date hereof, and will be true and correct as of the Closing Date, and covenants and agrees as follows:</w:t>
      </w:r>
    </w:p>
    <w:p>
      <w:pPr>
        <w:spacing w:after="0" w:line="130" w:lineRule="exact"/>
        <w:rPr>
          <w:sz w:val="20"/>
          <w:szCs w:val="20"/>
          <w:color w:val="auto"/>
        </w:rPr>
      </w:pPr>
    </w:p>
    <w:p>
      <w:pPr>
        <w:jc w:val="both"/>
        <w:ind w:left="180" w:right="199" w:firstLine="652"/>
        <w:spacing w:after="0" w:line="217" w:lineRule="auto"/>
        <w:tabs>
          <w:tab w:leader="none" w:pos="10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In connection with the offering and sale of the Securities in a private placement transaction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Company has prepared and made available to the Placement Agent and the Purchasers a Purchase Agreement, together with the schedules, exhibits and attachments thereto, ancillary documents including risk factor disclosures, and such other written information and disclosures concerning the Company and the Securities as have been provided by or on behalf of the Company in connection with the offering (collectively, the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jc w:val="both"/>
        <w:ind w:left="180" w:right="199" w:firstLine="796"/>
        <w:spacing w:after="0" w:line="231" w:lineRule="auto"/>
        <w:tabs>
          <w:tab w:leader="none" w:pos="125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Assurances</w:t>
      </w:r>
      <w:r>
        <w:rPr>
          <w:rFonts w:ascii="Times New Roman" w:cs="Times New Roman" w:eastAsia="Times New Roman" w:hAnsi="Times New Roman"/>
          <w:sz w:val="18"/>
          <w:szCs w:val="18"/>
          <w:color w:val="auto"/>
        </w:rPr>
        <w:t>. The Disclosure Package, taken as a whole, does not contain any untrue statement of a material fact or omit to state a material fact necessary in order to make the statements therein, in light of the circumstances under which they were made, not misleading. The Company has made available to the Placement Agent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0" w:name="page71"/>
    <w:bookmarkEnd w:id="70"/>
    <w:p>
      <w:pPr>
        <w:jc w:val="both"/>
        <w:ind w:left="180" w:right="199"/>
        <w:spacing w:after="0" w:line="223" w:lineRule="auto"/>
        <w:rPr>
          <w:sz w:val="20"/>
          <w:szCs w:val="20"/>
          <w:color w:val="auto"/>
        </w:rPr>
      </w:pPr>
      <w:r>
        <w:rPr>
          <w:rFonts w:ascii="Times New Roman" w:cs="Times New Roman" w:eastAsia="Times New Roman" w:hAnsi="Times New Roman"/>
          <w:sz w:val="18"/>
          <w:szCs w:val="18"/>
          <w:color w:val="auto"/>
        </w:rPr>
        <w:t>and the Purchasers all material information concerning the Company and the Securities required to be disclosed in connection with the offering pursuant to applicable federal and state securities laws and regulations. Except for this</w:t>
      </w: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Agreement and the Transaction Documents, there are no contracts or other documents related to the Offering of the Securities that are required to be disclosed to the Placement Agent or the Purchasers that have not been disclosed or made available as part of the Disclosure Package.</w:t>
      </w:r>
    </w:p>
    <w:p>
      <w:pPr>
        <w:spacing w:after="0" w:line="131" w:lineRule="exact"/>
        <w:rPr>
          <w:sz w:val="20"/>
          <w:szCs w:val="20"/>
          <w:color w:val="auto"/>
        </w:rPr>
      </w:pPr>
    </w:p>
    <w:p>
      <w:pPr>
        <w:jc w:val="both"/>
        <w:ind w:left="180" w:right="199" w:firstLine="652"/>
        <w:spacing w:after="0" w:line="231" w:lineRule="auto"/>
        <w:tabs>
          <w:tab w:leader="none" w:pos="10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 Neither the Company nor any of its directors or officers has distributed, and none of them will distribute prior to the Closing Date, any offering material in connection with the offering and sale of the Securities other than the Disclosure Package.</w:t>
      </w:r>
    </w:p>
    <w:p>
      <w:pPr>
        <w:spacing w:after="0" w:line="113"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08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are set forth in the SEC Reports (as defined below). The Company owns, directly or indirectly, all of the capital stock or other equity interests of each Subsidiary free and clear of any liens, charges, security interests, encumbrances, rights of first refusal, preemptive rights or other restrictions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and all of the issued and outstanding shares of capital stock of each Subsidiary are validly issued and are fully paid, non-assessable and free of preemptive and similar rights to subscribe for or purchase securities.</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11" w:lineRule="auto"/>
        <w:tabs>
          <w:tab w:leader="none" w:pos="10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the Transaction Documents or any other agreement or instrument relating to the Offering, (ii) a material adverse effect on the results of operations, assets, business or condition (financial or otherwise) of the Company and the Subsidiaries, or (iii) a material adverse effect on the Company’s ability to perform in any material respect on a timely basis its obligations under this Agreement or the transactions contemplated under the Transaction Documents (any of (i), (ii) or (iii),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change in the market price or trading volume of the Common Stock alone shall not be deemed, in and of itself, to constitute a Material Adverse Effect. No action, claim, suit, investigation or proceeding (including, without limitation, an informal inquiry), whether commenced or threatened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has been instituted in any such jurisdiction revoking, limiting or curtailing or seeking to revoke, limit or curtail such power and authority or qualification.</w:t>
      </w:r>
    </w:p>
    <w:p>
      <w:pPr>
        <w:spacing w:after="0" w:line="139" w:lineRule="exact"/>
        <w:rPr>
          <w:rFonts w:ascii="Times New Roman" w:cs="Times New Roman" w:eastAsia="Times New Roman" w:hAnsi="Times New Roman"/>
          <w:sz w:val="18"/>
          <w:szCs w:val="18"/>
          <w:color w:val="auto"/>
        </w:rPr>
      </w:pPr>
    </w:p>
    <w:p>
      <w:pPr>
        <w:jc w:val="both"/>
        <w:ind w:left="180" w:right="199" w:firstLine="652"/>
        <w:spacing w:after="0" w:line="213" w:lineRule="auto"/>
        <w:tabs>
          <w:tab w:leader="none" w:pos="106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the Transaction Documents and the Disclosure Package and otherwise to carry out its obligations hereunder and thereunder. The execution and delivery of each of this Agreement, the Transaction Documents and the Disclosure Package by the Company and the consummation by it of the transactions contemplated hereby and thereby have been duly authorized by all necessary action on the part of the Company and no further action is required by the Company, the Company’s Board of Directors or the Company’s shareholders in connection therewith. This Agreement and each Transaction Document has been duly executed by the Company and, when delivered in accordance with the terms hereof, will constitute valid and binding obligations of the Company enforceable against the Company in accordance with their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22"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1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each Transaction Document and the transactions contemplated hereby, thereby and pursuant to the Disclosure Package, the issuance and sale of the Securities and the consummation by it of the transactions contemplated hereby and thereby to which it is a party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1" w:name="page72"/>
    <w:bookmarkEnd w:id="71"/>
    <w:p>
      <w:pPr>
        <w:jc w:val="both"/>
        <w:ind w:left="180" w:right="199"/>
        <w:spacing w:after="0" w:line="223" w:lineRule="auto"/>
        <w:rPr>
          <w:sz w:val="20"/>
          <w:szCs w:val="20"/>
          <w:color w:val="auto"/>
        </w:rPr>
      </w:pPr>
      <w:r>
        <w:rPr>
          <w:rFonts w:ascii="Times New Roman" w:cs="Times New Roman" w:eastAsia="Times New Roman" w:hAnsi="Times New Roman"/>
          <w:sz w:val="18"/>
          <w:szCs w:val="18"/>
          <w:color w:val="auto"/>
        </w:rPr>
        <w:t>creation of any Lien upon any of the properties or assets of the Company or any Subsidiary, or give to others any rights of termination, amendment, acceleration or cancellation (with or without notice, lapse of time or both) of, any</w:t>
      </w: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agreement, credit facility, debt or other instrument (evidencing a Company or Subsidiary debt or otherwise) or other understanding to which the Company or any Subsidiary is a party or by which any property or asset of the Company or any Subsidiary is bound or affected, conflict with or result in a violation of any law, rule, regulation, order, judgment,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reasonably be expected to result in a Material Adverse Effect.</w:t>
      </w:r>
    </w:p>
    <w:p>
      <w:pPr>
        <w:spacing w:after="0" w:line="124" w:lineRule="exact"/>
        <w:rPr>
          <w:sz w:val="20"/>
          <w:szCs w:val="20"/>
          <w:color w:val="auto"/>
        </w:rPr>
      </w:pPr>
    </w:p>
    <w:p>
      <w:pPr>
        <w:jc w:val="both"/>
        <w:ind w:left="180" w:right="199" w:firstLine="652"/>
        <w:spacing w:after="0" w:line="215" w:lineRule="auto"/>
        <w:tabs>
          <w:tab w:leader="none" w:pos="115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Agreement and the transactions contemplated by the Transaction Documents, other than such filings as are required to be made under applicable state securities laws and stock exchange listing standards. As used herein (i)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and (ii)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0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Transaction Documents, will be duly and validly issued, fully paid and nonassessable, free and clear of all Liens imposed by the Company.</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10" w:lineRule="auto"/>
        <w:tabs>
          <w:tab w:leader="none" w:pos="10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Company’s Form 10-K for the year ended December 31, 2025, as filed on March 31, 2026 (the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The Company has not issued any capital stock or Common Stock Equivalents since its most recently filed SEC Report (as defined below), other than pursuant to the exercise of employee stock options or vesting and settlement of restricted stock units under the Company’s stock option plans, the issuance of shares of Common Stock to employees pursuant to any employee stock purchase plans and pursuant to the conversion and/or exercise of securities of the Company or the Subsidiaries which would entitle the holder thereof to acquire at any time any Common Stock, including, without limitation, any debt, preferred stock, rights, options, warrants or other instrument that is at any time convertible into or exercisable or exchangeable for, or otherwise entitles the holder thereof to receive, Common Stock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outstanding as of the date of the most recently filed periodic report under the Exchange Act. No Person has any right of first refusal, preemptive right, right of participation, or any similar right to participate in the transactions contemplated by this Agreement and the transactions contemplated pursuant to the Transaction Documents. Except as a result of the purchase and sale of the Securities and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the Placement Agent)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where applicable, and none of such outstanding shares was issued in violation of any preemptive rights or similar rights to subscribe for or purchase securities. No further approval or authorization of the Board of Directors is required for the issuance and sale of the Securities. There are no shareholders agreements, voting agreements or other similar agreements with respect to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2" w:name="page73"/>
    <w:bookmarkEnd w:id="72"/>
    <w:p>
      <w:pPr>
        <w:ind w:left="180" w:right="199"/>
        <w:spacing w:after="0" w:line="237" w:lineRule="auto"/>
        <w:rPr>
          <w:sz w:val="20"/>
          <w:szCs w:val="20"/>
          <w:color w:val="auto"/>
        </w:rPr>
      </w:pPr>
      <w:r>
        <w:rPr>
          <w:rFonts w:ascii="Times New Roman" w:cs="Times New Roman" w:eastAsia="Times New Roman" w:hAnsi="Times New Roman"/>
          <w:sz w:val="18"/>
          <w:szCs w:val="18"/>
          <w:color w:val="auto"/>
        </w:rPr>
        <w:t>Company’s capital stock to which the Company is a party or, to the knowledge of the Company, between or among any of the Company’s shareholders.</w:t>
      </w:r>
    </w:p>
    <w:p>
      <w:pPr>
        <w:spacing w:after="0" w:line="131" w:lineRule="exact"/>
        <w:rPr>
          <w:sz w:val="20"/>
          <w:szCs w:val="20"/>
          <w:color w:val="auto"/>
        </w:rPr>
      </w:pPr>
    </w:p>
    <w:p>
      <w:pPr>
        <w:jc w:val="both"/>
        <w:ind w:left="180" w:right="199" w:firstLine="652"/>
        <w:spacing w:after="0" w:line="210" w:lineRule="auto"/>
        <w:tabs>
          <w:tab w:leader="none" w:pos="109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one (1) year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SEC Reports conform in all material aspects to the descriptions thereof contained therein and there are no agreements or other documents required by the Securities Act and the rules and regulations thereunder to be described in the SEC Reports that have not been so described or filed. Each agreement or other instrument (however characterized or described) to which the Company is a party or by which it is or may be bound or affected and (i) that is referred to in the SEC Reports,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29" w:lineRule="exact"/>
        <w:rPr>
          <w:rFonts w:ascii="Times New Roman" w:cs="Times New Roman" w:eastAsia="Times New Roman" w:hAnsi="Times New Roman"/>
          <w:sz w:val="18"/>
          <w:szCs w:val="18"/>
          <w:color w:val="auto"/>
        </w:rPr>
      </w:pPr>
    </w:p>
    <w:p>
      <w:pPr>
        <w:jc w:val="both"/>
        <w:ind w:left="180" w:right="199" w:firstLine="652"/>
        <w:spacing w:after="0" w:line="222" w:lineRule="auto"/>
        <w:tabs>
          <w:tab w:leader="none" w:pos="105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Form 10-K, except as disclosed in the Transaction Documents or SEC Reports,</w:t>
      </w:r>
    </w:p>
    <w:p>
      <w:pPr>
        <w:spacing w:after="0" w:line="1" w:lineRule="exact"/>
        <w:rPr>
          <w:rFonts w:ascii="Times New Roman" w:cs="Times New Roman" w:eastAsia="Times New Roman" w:hAnsi="Times New Roman"/>
          <w:sz w:val="18"/>
          <w:szCs w:val="18"/>
          <w:color w:val="auto"/>
        </w:rPr>
      </w:pPr>
    </w:p>
    <w:p>
      <w:pPr>
        <w:jc w:val="both"/>
        <w:ind w:left="180" w:right="199" w:firstLine="4"/>
        <w:spacing w:after="0" w:line="212" w:lineRule="auto"/>
        <w:tabs>
          <w:tab w:leader="none" w:pos="40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SEC any request for confidential treatment of information. Except for the issuance of the Securities contemplated or disclosed in the Transaction Documents, no event, liability, fact, circumstance, occurrence or development has occurred or exists or is reasonably expected to occur or exist with respect to the Company or its Subsidiaries or their respective businesses, prospects, properties, operations, assets or financial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3" w:name="page74"/>
    <w:bookmarkEnd w:id="73"/>
    <w:p>
      <w:pPr>
        <w:jc w:val="both"/>
        <w:ind w:left="180" w:right="199"/>
        <w:spacing w:after="0" w:line="223" w:lineRule="auto"/>
        <w:rPr>
          <w:sz w:val="20"/>
          <w:szCs w:val="20"/>
          <w:color w:val="auto"/>
        </w:rPr>
      </w:pPr>
      <w:r>
        <w:rPr>
          <w:rFonts w:ascii="Times New Roman" w:cs="Times New Roman" w:eastAsia="Times New Roman" w:hAnsi="Times New Roman"/>
          <w:sz w:val="18"/>
          <w:szCs w:val="18"/>
          <w:color w:val="auto"/>
        </w:rPr>
        <w:t>condition that would be required to be disclosed by the Company under applicable securities laws at the time this representation is made or deemed made that has not been publicly disclosed at least one (1) Trading Day prior to the</w:t>
      </w: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date that this representation is made. As used in this Agreement,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Trading Market (as defined below) is open for trading. As used in this Agreement,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The Nasdaq Capital Market, the securities exchange on which the Common Stock is listed for trading.</w:t>
      </w:r>
    </w:p>
    <w:p>
      <w:pPr>
        <w:spacing w:after="0" w:line="131" w:lineRule="exact"/>
        <w:rPr>
          <w:sz w:val="20"/>
          <w:szCs w:val="20"/>
          <w:color w:val="auto"/>
        </w:rPr>
      </w:pPr>
    </w:p>
    <w:p>
      <w:pPr>
        <w:jc w:val="both"/>
        <w:ind w:left="180" w:right="199" w:firstLine="652"/>
        <w:spacing w:after="0" w:line="214" w:lineRule="auto"/>
        <w:tabs>
          <w:tab w:leader="none" w:pos="11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SEC Reports, there is no Proceeding pending or, to the knowledge of the Company, threatened against or affecting the Company, any Subsidiary or any of their respective properties before or by any court, arbitrator, governmental or administrative agency or regulatory authority (federal, state, county, local or foreign) which (i) adversely affects or challenges the legality, validity or enforceability of any of this Agreement, the Transaction Documents and the transactions contemplated pursuant to the Disclosure Package or the Securities or (ii) could, if there were an unfavorable decision, have or reasonably be expected to result in a Material Adverse Effect. Neither the Company nor any Subsidiary, nor any director or officer thereof, is or has been the subject of any Proceeding involving a claim of violation of or liability under federal or state securities laws or a claim of breach of fiduciary duty. There has not been, and to the knowledge of the Company, there is not pending or contemplated, any investigation or informal inquiry by the SEC or its Staff involving the Company or any current or former director or officer of the Company. The SEC has not issued any stop order or other order suspending the effectiveness of any registration statement filed by the Company or any Subsidiary under the Exchange Act or the Securities Act.</w:t>
      </w:r>
    </w:p>
    <w:p>
      <w:pPr>
        <w:spacing w:after="0" w:line="120" w:lineRule="exact"/>
        <w:rPr>
          <w:rFonts w:ascii="Times New Roman" w:cs="Times New Roman" w:eastAsia="Times New Roman" w:hAnsi="Times New Roman"/>
          <w:sz w:val="18"/>
          <w:szCs w:val="18"/>
          <w:color w:val="auto"/>
        </w:rPr>
      </w:pPr>
    </w:p>
    <w:p>
      <w:pPr>
        <w:jc w:val="both"/>
        <w:ind w:left="180" w:right="199" w:firstLine="652"/>
        <w:spacing w:after="0" w:line="212" w:lineRule="auto"/>
        <w:tabs>
          <w:tab w:leader="none" w:pos="10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(1) No material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(2) No executive officer of the Company or any Subsidiary, to the knowledge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(3) To the Company’s knowledge, (a) no allegation of sexual harassment, sexual misconduct or discrimination, whether such discrimination arises from race, ethnic background, sex, gender status, age or otherwise (“</w:t>
      </w:r>
      <w:r>
        <w:rPr>
          <w:rFonts w:ascii="Times New Roman" w:cs="Times New Roman" w:eastAsia="Times New Roman" w:hAnsi="Times New Roman"/>
          <w:sz w:val="18"/>
          <w:szCs w:val="18"/>
          <w:b w:val="1"/>
          <w:bCs w:val="1"/>
          <w:color w:val="auto"/>
        </w:rPr>
        <w:t>Misconduct</w:t>
      </w:r>
      <w:r>
        <w:rPr>
          <w:rFonts w:ascii="Times New Roman" w:cs="Times New Roman" w:eastAsia="Times New Roman" w:hAnsi="Times New Roman"/>
          <w:sz w:val="18"/>
          <w:szCs w:val="18"/>
          <w:color w:val="auto"/>
        </w:rPr>
        <w:t>”) have been made involving any current or former director, officer, employee or independent contractor of the Company or any of its Subsidiaries, (b) neither the Company nor any of its Subsidiaries have entered into any settlement agreements related to allegations of Misconduct by any current or former director, officer, employee, or independent contractor of the Company or any of its Subsidiaries. (4)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15" w:lineRule="auto"/>
        <w:tabs>
          <w:tab w:leader="none" w:pos="108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In addition to Section 2(n),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governmental authority, or (iii) is or has been in violation of any law, statute, rule, ordinance or regulation of any governmental authority, including without limitation all foreign, federal, state and local laws, state unfair trade practice laws and rules and foreign equivalents, taxes, environmental protection, occupational health and safety and product quality matters, except in each case as could not have or reasonably be expected to result in a Material Adverse Effect.</w:t>
      </w:r>
    </w:p>
    <w:p>
      <w:pPr>
        <w:spacing w:after="0" w:line="116" w:lineRule="exact"/>
        <w:rPr>
          <w:rFonts w:ascii="Times New Roman" w:cs="Times New Roman" w:eastAsia="Times New Roman" w:hAnsi="Times New Roman"/>
          <w:sz w:val="18"/>
          <w:szCs w:val="18"/>
          <w:color w:val="auto"/>
        </w:rPr>
      </w:pPr>
    </w:p>
    <w:p>
      <w:pPr>
        <w:jc w:val="both"/>
        <w:ind w:left="180" w:right="199" w:firstLine="652"/>
        <w:spacing w:after="0" w:line="223" w:lineRule="auto"/>
        <w:tabs>
          <w:tab w:leader="none" w:pos="108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Disclosure Package, except where the failure to possess such permits would not or could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4" w:name="page75"/>
    <w:bookmarkEnd w:id="74"/>
    <w:p>
      <w:pPr>
        <w:jc w:val="both"/>
        <w:ind w:left="180" w:right="199"/>
        <w:spacing w:after="0" w:line="223" w:lineRule="auto"/>
        <w:rPr>
          <w:sz w:val="20"/>
          <w:szCs w:val="20"/>
          <w:color w:val="auto"/>
        </w:rPr>
      </w:pPr>
      <w:r>
        <w:rPr>
          <w:rFonts w:ascii="Times New Roman" w:cs="Times New Roman" w:eastAsia="Times New Roman" w:hAnsi="Times New Roman"/>
          <w:sz w:val="18"/>
          <w:szCs w:val="18"/>
          <w:color w:val="auto"/>
        </w:rPr>
        <w:t>Permit. The disclosures in the Disclosure Package concerning the effects of federal, state, local and all foreign regulation on the Company’s business as currently contemplated are correct in all material respects. The Company is</w:t>
      </w: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and has been in material compliance with any term of any such Material Permits, except for any violations which would not reasonably be expected to have a Material Adverse Effect. The Company has not received notice of any Proceeding from any governmental authority or third party alleging that any product, operation or activity is in</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violation of any applicable laws or regulations or Material Permits or has any knowledge that any such entity or third party is considering any such Proceeding, nor, to the Company’s knowledge, has there been any material noncompliance with or violation of any applicable laws or regulations by the Company that could reasonably be</w:t>
      </w:r>
    </w:p>
    <w:p>
      <w:pPr>
        <w:spacing w:after="0" w:line="2"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expected to require the issuance of any such communication or result in an investigation, corrective action, or enforcement action by any governmental authority.</w:t>
      </w:r>
    </w:p>
    <w:p>
      <w:pPr>
        <w:spacing w:after="0" w:line="130" w:lineRule="exact"/>
        <w:rPr>
          <w:sz w:val="20"/>
          <w:szCs w:val="20"/>
          <w:color w:val="auto"/>
        </w:rPr>
      </w:pPr>
    </w:p>
    <w:p>
      <w:pPr>
        <w:jc w:val="both"/>
        <w:ind w:left="180" w:right="199" w:firstLine="652"/>
        <w:spacing w:after="0" w:line="214" w:lineRule="auto"/>
        <w:tabs>
          <w:tab w:leader="none" w:pos="108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Liens as do not materially affect the value of such property and do not materially interfere with the use made and proposed to be made of such property by the Company and the Subsidiaries and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12" w:lineRule="auto"/>
        <w:tabs>
          <w:tab w:leader="none" w:pos="105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and Trademarks</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material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Form 10-K, a notice (written or otherwise) of a claim or otherwise has any knowledge that the Intellectual Property Rights violate or infringe upon the rights of any Person, except as would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32"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0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14" w:lineRule="auto"/>
        <w:tabs>
          <w:tab w:leader="none" w:pos="10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Disclosure Package, none of the executive officers or directors of the Company or any Subsidiary and, to the knowledge of the Company, none of the employees of the Company or any Subsidiary is presently a party to any transaction with the Company or any Subsidiary (other than for services as employees, executive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executive officer, director or such employee or, to the knowledge of the Company, any entity in which any executive officer, director, or any such employee has a substantial interest or is an officer, director, trustee, shareholder, member or partner, in each case in excess of one percent (1%) of the Company’s average total assets as of December 31, 2025 and 2024 other than for: (i) payment of salary or consulting fees for services rendered, (ii) reimbursement for expenses incurred on behalf of the Company and (iii) other employee benefits, including equity award or option agreements under any equity incentive plan or similar of the Company.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5" w:name="page76"/>
    <w:bookmarkEnd w:id="75"/>
    <w:p>
      <w:pPr>
        <w:jc w:val="both"/>
        <w:ind w:left="180" w:right="199" w:firstLine="652"/>
        <w:spacing w:after="0" w:line="211" w:lineRule="auto"/>
        <w:tabs>
          <w:tab w:leader="none" w:pos="108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SEC thereunder that are effective as of the date hereof and as of the Closing Date. Except as disclosed in the Transaction Documents,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SEC’s rules and forms. The Company’s certifying officers have evaluated the effectiveness of the Company’s disclosure controls and procedures of the Company and the Subsidiaries as of the end of the period covered by the Company’s most recently filed periodic report under the Exchange Act (such date, the “</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47"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12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Transaction Documents, no brokerage or finder’s fees or commissions are or will be payable by the Company to any broker, dealer, financial advisor or consultant, finder, placement agent, investment banker, bank or other Person with respect to the transactions contemplated by this Agreement and the transactions contemplated pursuant to the Transaction Documents. The Purchasers shall have no obligation with respect to any fees or with respect to any claims made by or on behalf of other Persons for fees of a type contemplated in this Section 2(v) that may be due in connection with the transactions contemplated by this Agreement and the transactions contemplated pursuant to the Transaction Documents.</w:t>
      </w:r>
    </w:p>
    <w:p>
      <w:pPr>
        <w:spacing w:after="0" w:line="120"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1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11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registration rights granted in connection with the Offering, and the Company has not agreed to file any registration statement covering the Securities. No Person has any right to cause the Company or any Subsidiary to effect the registration under the Securities Act of any securities of the Company or any Subsidiary.</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14" w:lineRule="auto"/>
        <w:tabs>
          <w:tab w:leader="none" w:pos="108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Except as disclosed in the SEC Reports or Transaction Documents, the Company has not, in the twelve (12) months preceding the date hereof, received notice from any Trading Market on which the Common Stock is or has been listed or quoted to the effect that the Company is not in compliance with the listing or maintenance requirements of such Trading Market. Except as otherwise disclosed in the SEC Reports or Transaction Documents,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76" w:name="page77"/>
    <w:bookmarkEnd w:id="76"/>
    <w:p>
      <w:pPr>
        <w:jc w:val="both"/>
        <w:ind w:left="180" w:right="199" w:firstLine="652"/>
        <w:spacing w:after="0" w:line="217" w:lineRule="auto"/>
        <w:tabs>
          <w:tab w:leader="none" w:pos="108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this Agreement and the transactions contemplated pursuant to Transaction Documents, including without limitation as a result of the Company’s issuance of the Securities and the Purchasers’ ownership of the Securities.</w:t>
      </w:r>
    </w:p>
    <w:p>
      <w:pPr>
        <w:spacing w:after="0" w:line="135" w:lineRule="exact"/>
        <w:rPr>
          <w:sz w:val="20"/>
          <w:szCs w:val="20"/>
          <w:color w:val="auto"/>
        </w:rPr>
      </w:pPr>
    </w:p>
    <w:p>
      <w:pPr>
        <w:jc w:val="both"/>
        <w:ind w:left="180" w:right="199" w:firstLine="652"/>
        <w:spacing w:after="0" w:line="212" w:lineRule="auto"/>
        <w:tabs>
          <w:tab w:leader="none" w:pos="11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this Agreement and the transactions contemplated pursuant to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Disclosure Package.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Package,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(12) months preceding the date of this Agreement taken as a whole did not contain, at their respective times of issuance,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140"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44" w:lineRule="exact"/>
        <w:rPr>
          <w:rFonts w:ascii="Times New Roman" w:cs="Times New Roman" w:eastAsia="Times New Roman" w:hAnsi="Times New Roman"/>
          <w:sz w:val="18"/>
          <w:szCs w:val="18"/>
          <w:color w:val="auto"/>
        </w:rPr>
      </w:pPr>
    </w:p>
    <w:p>
      <w:pPr>
        <w:jc w:val="both"/>
        <w:ind w:left="180" w:right="199" w:firstLine="652"/>
        <w:spacing w:after="0" w:line="211" w:lineRule="auto"/>
        <w:tabs>
          <w:tab w:leader="none" w:pos="11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and Transaction Documents,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Except as disclosed in the SEC Reports and Transaction Documents, the Company has no knowledge of any facts or circumstances which lead it to believe that it will file for reorganization or liquidation under the bankruptcy or reorganization laws of any jurisdiction within one year from each Closing Date. The SEC Reports and Disclosure Package disclose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Fifty Thousand Dollars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One Hundred Thousand Dollars ($100,000) due under leases required to be capitalized in accordance with GAAP. Except as disclosed in the SEC Reports and Transaction Documents, neither the Company nor any Subsidiary is in default with respect to any Indebtedness.</w:t>
      </w:r>
    </w:p>
    <w:p>
      <w:pPr>
        <w:spacing w:after="0" w:line="135"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18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(i) have made or filed all United States federal, state and local income and franchise and all foreign income and franchise tax returns, reports and declarations required by any jurisdiction to which they are subject, (ii) have paid all taxes and other governmental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7" w:name="page78"/>
    <w:bookmarkEnd w:id="77"/>
    <w:p>
      <w:pPr>
        <w:jc w:val="both"/>
        <w:ind w:left="180" w:right="199"/>
        <w:spacing w:after="0" w:line="223" w:lineRule="auto"/>
        <w:rPr>
          <w:sz w:val="20"/>
          <w:szCs w:val="20"/>
          <w:color w:val="auto"/>
        </w:rPr>
      </w:pPr>
      <w:r>
        <w:rPr>
          <w:rFonts w:ascii="Times New Roman" w:cs="Times New Roman" w:eastAsia="Times New Roman" w:hAnsi="Times New Roman"/>
          <w:sz w:val="18"/>
          <w:szCs w:val="18"/>
          <w:color w:val="auto"/>
        </w:rPr>
        <w:t>assessments and charges that are material in amount, shown or determined to be due on such returns, reports and declarations and (iii) have set aside on its books provision reasonably adequate for the payment of all material taxes for</w:t>
      </w: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31" w:lineRule="exact"/>
        <w:rPr>
          <w:sz w:val="20"/>
          <w:szCs w:val="20"/>
          <w:color w:val="auto"/>
        </w:rPr>
      </w:pPr>
    </w:p>
    <w:p>
      <w:pPr>
        <w:jc w:val="both"/>
        <w:ind w:left="180" w:right="199" w:firstLine="652"/>
        <w:spacing w:after="0" w:line="216" w:lineRule="auto"/>
        <w:tabs>
          <w:tab w:leader="none" w:pos="11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Company has taken reasonable steps to ensure that its accounting controls and procedures are sufficient to cause the Company to comply in all material respects with the FCPA.</w:t>
      </w:r>
    </w:p>
    <w:p>
      <w:pPr>
        <w:spacing w:after="0" w:line="118"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17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set forth in the SEC Reports. To the knowledge of the Company, such accounting firm (i) is a registered public accounting firm as required by the Exchange Act and (ii) expressed its opinion with respect to the financial statements included in the Company’s Annual Report for the fiscal year ending December 31, 2025.</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(other than the Placement Agent, as to which no representation is made)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26" w:lineRule="auto"/>
        <w:tabs>
          <w:tab w:leader="none" w:pos="10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to the Company’s knowledge, any director, officer, agent, employee or Affiliate of the Company or any Subsidiary is currently subject to any U.S. sanctions administered by the Office of Foreign Assets Control of the U.S. Treasury Department.</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1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and the Company shall so certify upon any Purchaser’s request.</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8" w:name="page79"/>
    <w:bookmarkEnd w:id="78"/>
    <w:p>
      <w:pPr>
        <w:jc w:val="both"/>
        <w:ind w:left="180" w:right="199" w:firstLine="652"/>
        <w:spacing w:after="0" w:line="220" w:lineRule="auto"/>
        <w:tabs>
          <w:tab w:leader="none" w:pos="127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United States federal and state and foreign money laundering statutes and applicable rules and regulations thereunder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Proceeding by or before any court or governmental agency, authority or body or any arbitrator involving the Company with respect to the Money Laundering Laws is pending or, to the knowledge of the Company, threatened.</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26" w:lineRule="auto"/>
        <w:tabs>
          <w:tab w:leader="none" w:pos="11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Any certificate signed by an officer of the Company and delivered to the Placement Agent shall be deemed to be a representation and warranty by the Company to the Placement Agent as to the matters set forth therein.</w:t>
      </w:r>
    </w:p>
    <w:p>
      <w:pPr>
        <w:spacing w:after="0" w:line="130" w:lineRule="exact"/>
        <w:rPr>
          <w:rFonts w:ascii="Times New Roman" w:cs="Times New Roman" w:eastAsia="Times New Roman" w:hAnsi="Times New Roman"/>
          <w:sz w:val="18"/>
          <w:szCs w:val="18"/>
          <w:color w:val="auto"/>
        </w:rPr>
      </w:pPr>
    </w:p>
    <w:p>
      <w:pPr>
        <w:ind w:left="180" w:right="199" w:firstLine="652"/>
        <w:spacing w:after="0" w:line="237" w:lineRule="auto"/>
        <w:tabs>
          <w:tab w:leader="none" w:pos="12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Company acknowledges that the Placement Agent will rely upon the accuracy and truthfulness of the foregoing representations and warranties and hereby consents to such reliance.</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17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statements (within the meaning of Section 27A of the Securities Act and Section 21E of the Exchange Act) contained in the Disclosure Package has been made or reaffirmed without a reasonable basis or has been disclosed other than in good faith.</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1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or Market-Related Data</w:t>
      </w:r>
      <w:r>
        <w:rPr>
          <w:rFonts w:ascii="Times New Roman" w:cs="Times New Roman" w:eastAsia="Times New Roman" w:hAnsi="Times New Roman"/>
          <w:sz w:val="18"/>
          <w:szCs w:val="18"/>
          <w:color w:val="auto"/>
        </w:rPr>
        <w:t>. Any statistical, industry-related and market-related data included or incorporated by reference in the Disclosure Package, are based on or derived from sources that the Company reasonably and in good faith believes to be reliable and accurate, and such data agree with the sources from which they are derived.</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1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Affiliations</w:t>
      </w:r>
      <w:r>
        <w:rPr>
          <w:rFonts w:ascii="Times New Roman" w:cs="Times New Roman" w:eastAsia="Times New Roman" w:hAnsi="Times New Roman"/>
          <w:sz w:val="18"/>
          <w:szCs w:val="18"/>
          <w:color w:val="auto"/>
        </w:rPr>
        <w:t>. There are no affiliations with any firm that is a member of the FINRA participating in the Offering among the Company’s officers, directors or, to the knowledge of the Company, any 5% or greater shareholder of the Company.</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13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Company’s Board of Directors is comprised of the persons identified as directors of the Company in the SEC Reports.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12" w:lineRule="auto"/>
        <w:tabs>
          <w:tab w:leader="none" w:pos="113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that would reasonably be expected to result in, individually or in the aggregate, a Material Adverse Effect and (i) the Company and the Subsidiaries have not been notified of, and have no knowledge of any event or condition that would reasonably be expected to result in, any material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32"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17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material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(ii) the Company and the Subsidiaries have in place,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79" w:name="page80"/>
    <w:bookmarkEnd w:id="79"/>
    <w:p>
      <w:pPr>
        <w:jc w:val="both"/>
        <w:ind w:left="180" w:right="199"/>
        <w:spacing w:after="0" w:line="223" w:lineRule="auto"/>
        <w:rPr>
          <w:sz w:val="20"/>
          <w:szCs w:val="20"/>
          <w:color w:val="auto"/>
        </w:rPr>
      </w:pPr>
      <w:r>
        <w:rPr>
          <w:rFonts w:ascii="Times New Roman" w:cs="Times New Roman" w:eastAsia="Times New Roman" w:hAnsi="Times New Roman"/>
          <w:sz w:val="18"/>
          <w:szCs w:val="18"/>
          <w:color w:val="auto"/>
        </w:rPr>
        <w:t>comply with, and take appropriate steps reasonably designed to ensure compliance with their policies and procedures relating to data privacy and security and the collection, storage, use, disclosure, handling and analysis of Personal Data</w:t>
      </w: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(as defined below)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matter, and do not contain any material omissions of the Company’s then-current privacy practices, as required by Privacy Laws.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would qualify as “personally identifying information” under the FTC, as amended; (iii) “personal data” as defined by GDPR; and (iv) any other piece of information that allows the identification of such natural person, or his or her family, or permits the collection or analysis of any identifiable data related to an identified person’s health or sexual</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31" w:lineRule="exact"/>
        <w:rPr>
          <w:sz w:val="20"/>
          <w:szCs w:val="20"/>
          <w:color w:val="auto"/>
        </w:rPr>
      </w:pPr>
    </w:p>
    <w:p>
      <w:pPr>
        <w:jc w:val="both"/>
        <w:ind w:left="180" w:right="199" w:firstLine="652"/>
        <w:spacing w:after="0" w:line="214" w:lineRule="auto"/>
        <w:tabs>
          <w:tab w:leader="none" w:pos="117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3. Delivery and Payment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right="199" w:firstLine="652"/>
        <w:spacing w:after="0" w:line="215" w:lineRule="auto"/>
        <w:tabs>
          <w:tab w:leader="none" w:pos="108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for the Offering</w:t>
      </w:r>
      <w:r>
        <w:rPr>
          <w:rFonts w:ascii="Times New Roman" w:cs="Times New Roman" w:eastAsia="Times New Roman" w:hAnsi="Times New Roman"/>
          <w:sz w:val="18"/>
          <w:szCs w:val="18"/>
          <w:color w:val="auto"/>
        </w:rPr>
        <w:t>. Delivery of and payment for the Securities shall be made on or before the first (1st) Trading Day following the date of the Purchase Agreement. The Closing shall take place remotely by electronic transfer of the Closing documentation. On the Closing Date, the Company shall issue such amount of Securities sold pursuant to the Purchase Agreement directly to the accounts designated by the Placement Agent for the applicable Purchasers and payment shall be made by the Purchasers by wire transfer to the Company. At the Closing, the Company shall deliver to each Purchaser the number of Securities purchased by such Purchaser. Subject to the terms and conditions hereof, at the Closing, payment of the purchase price for the Securities sold pursuant to the Purchase Agreement shall be made by federal funds wire transfer, against delivery of the Securities, and such Securities shall be registered in such name or names and shall be in such denominations, as the Placement Agent may request. All actions taken at the Closing shall be deemed to have occurred simultaneously.</w:t>
      </w:r>
    </w:p>
    <w:p>
      <w:pPr>
        <w:spacing w:after="0" w:line="116" w:lineRule="exact"/>
        <w:rPr>
          <w:rFonts w:ascii="Times New Roman" w:cs="Times New Roman" w:eastAsia="Times New Roman" w:hAnsi="Times New Roman"/>
          <w:sz w:val="18"/>
          <w:szCs w:val="18"/>
          <w:color w:val="auto"/>
        </w:rPr>
      </w:pPr>
    </w:p>
    <w:p>
      <w:pPr>
        <w:jc w:val="both"/>
        <w:ind w:left="180" w:right="199" w:firstLine="652"/>
        <w:spacing w:after="0" w:line="223" w:lineRule="auto"/>
        <w:tabs>
          <w:tab w:leader="none" w:pos="10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the Securities</w:t>
      </w:r>
      <w:r>
        <w:rPr>
          <w:rFonts w:ascii="Times New Roman" w:cs="Times New Roman" w:eastAsia="Times New Roman" w:hAnsi="Times New Roman"/>
          <w:sz w:val="18"/>
          <w:szCs w:val="18"/>
          <w:color w:val="auto"/>
        </w:rPr>
        <w:t>. The Securities are being sold to the Purchasers at the purchase price and on the terms set forth in the applicable Purchase Agreement. The purchase of the Securities by each of the Purchasers shall be evidenced by the receipt of funds in the account designated by the Company and the Placement Agent and execution of a Purchase Agreement by each such Purchaser and the Company or as evidenced by cancellation of the indebtedness contemplated in the Exchange Agreement.</w:t>
      </w:r>
    </w:p>
    <w:p>
      <w:pPr>
        <w:spacing w:after="0" w:line="118" w:lineRule="exact"/>
        <w:rPr>
          <w:rFonts w:ascii="Times New Roman" w:cs="Times New Roman" w:eastAsia="Times New Roman" w:hAnsi="Times New Roman"/>
          <w:sz w:val="18"/>
          <w:szCs w:val="18"/>
          <w:color w:val="auto"/>
        </w:rPr>
      </w:pPr>
    </w:p>
    <w:p>
      <w:pPr>
        <w:jc w:val="both"/>
        <w:ind w:left="180" w:right="199" w:firstLine="652"/>
        <w:spacing w:after="0" w:line="200" w:lineRule="exact"/>
        <w:tabs>
          <w:tab w:leader="none" w:pos="107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the Shares</w:t>
      </w:r>
      <w:r>
        <w:rPr>
          <w:rFonts w:ascii="Times New Roman" w:cs="Times New Roman" w:eastAsia="Times New Roman" w:hAnsi="Times New Roman"/>
          <w:sz w:val="18"/>
          <w:szCs w:val="18"/>
          <w:color w:val="auto"/>
        </w:rPr>
        <w:t>. Delivery of the shares of Preferred Stock and, if applicable, any shares of Common Stock issued upon conversion thereof, shall be made in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form, or by such other means as may be agreed upon by the Company and the Placement Agent.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0" w:name="page81"/>
    <w:bookmarkEnd w:id="80"/>
    <w:p>
      <w:pPr>
        <w:ind w:left="180"/>
        <w:spacing w:after="0"/>
        <w:rPr>
          <w:sz w:val="20"/>
          <w:szCs w:val="20"/>
          <w:color w:val="auto"/>
        </w:rPr>
      </w:pPr>
      <w:r>
        <w:rPr>
          <w:rFonts w:ascii="Times New Roman" w:cs="Times New Roman" w:eastAsia="Times New Roman" w:hAnsi="Times New Roman"/>
          <w:sz w:val="18"/>
          <w:szCs w:val="18"/>
          <w:b w:val="1"/>
          <w:bCs w:val="1"/>
          <w:color w:val="auto"/>
        </w:rPr>
        <w:t>Section 4. Covenants and Agreements of the Company</w:t>
      </w:r>
      <w:r>
        <w:rPr>
          <w:rFonts w:ascii="Times New Roman" w:cs="Times New Roman" w:eastAsia="Times New Roman" w:hAnsi="Times New Roman"/>
          <w:sz w:val="18"/>
          <w:szCs w:val="18"/>
          <w:color w:val="auto"/>
        </w:rPr>
        <w:t>. The Company further covenants and agrees with the</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Placement Agent as follows:</w:t>
      </w:r>
    </w:p>
    <w:p>
      <w:pPr>
        <w:spacing w:after="0" w:line="124" w:lineRule="exact"/>
        <w:rPr>
          <w:sz w:val="20"/>
          <w:szCs w:val="20"/>
          <w:color w:val="auto"/>
        </w:rPr>
      </w:pPr>
    </w:p>
    <w:p>
      <w:pPr>
        <w:jc w:val="both"/>
        <w:ind w:left="180" w:right="199" w:firstLine="652"/>
        <w:spacing w:after="0" w:line="220" w:lineRule="auto"/>
        <w:tabs>
          <w:tab w:leader="none" w:pos="107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 Matters</w:t>
      </w:r>
      <w:r>
        <w:rPr>
          <w:rFonts w:ascii="Times New Roman" w:cs="Times New Roman" w:eastAsia="Times New Roman" w:hAnsi="Times New Roman"/>
          <w:sz w:val="18"/>
          <w:szCs w:val="18"/>
          <w:color w:val="auto"/>
        </w:rPr>
        <w:t>. From the date hereof through the Closing Date, the Company shall promptly notify the Placement Agent if it becomes aware of any fact, event or circumstance that would cause the Disclosure Package to contain any untrue statement of a material fact or to omit to state a material fact necessary in order to make the statements therein, in light of the circumstances under which they were made, not misleading. In such event, the Company shall promptly supplement or amend the Disclosure Package to correct such statement or omission and shall provide the Placement Agent with copies of any such supplemental or amended disclosures.</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13" w:lineRule="auto"/>
        <w:tabs>
          <w:tab w:leader="none" w:pos="111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xml:space="preserve">. The Company will qualify or register the Offering under the securities laws of applicable jurisdictions (United States and foreign) as the Placement Agent and the Purchasers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not be required to produce any new disclosure statement or take such action as is necessary for the Offering to be made pursuant to an available exemption from qualification or registration in applicable jurisdictions.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09" w:lineRule="exact"/>
        <w:tabs>
          <w:tab w:leader="none" w:pos="109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Laws</w:t>
      </w:r>
      <w:r>
        <w:rPr>
          <w:rFonts w:ascii="Times New Roman" w:cs="Times New Roman" w:eastAsia="Times New Roman" w:hAnsi="Times New Roman"/>
          <w:sz w:val="18"/>
          <w:szCs w:val="18"/>
          <w:color w:val="auto"/>
        </w:rPr>
        <w:t>. The Company will comply in all material respects with applicable federal and state securities laws in connection with the offering and sale of the Securities and will not take any action that would cause the offering to lose its availability under applicable private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placement exemptions.</w:t>
      </w:r>
    </w:p>
    <w:p>
      <w:pPr>
        <w:spacing w:after="0" w:line="87"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12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enter into any subscription, purchase or other customary agreements as the Placement Agent or the Purchasers deem necessary or appropriate to consummate the Closing in connection with the Offering, all of which will be in form and substance reasonably acceptable to the Placement Agent and the Purchasers. The Company agrees that the Placement Agent may rely upon the representations and warranties, and applicable covenants set forth in any Transaction Document including the Purchase Agreement entered into with Purchasers in connection with the Offering.</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32" w:lineRule="auto"/>
        <w:tabs>
          <w:tab w:leader="none" w:pos="107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30" w:lineRule="exact"/>
        <w:rPr>
          <w:rFonts w:ascii="Times New Roman" w:cs="Times New Roman" w:eastAsia="Times New Roman" w:hAnsi="Times New Roman"/>
          <w:sz w:val="18"/>
          <w:szCs w:val="18"/>
          <w:color w:val="auto"/>
        </w:rPr>
      </w:pPr>
    </w:p>
    <w:p>
      <w:pPr>
        <w:jc w:val="both"/>
        <w:ind w:left="180" w:right="199" w:firstLine="652"/>
        <w:spacing w:after="0" w:line="22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given by the Placement Agent to the Company is solely for the benefit and use of the Board of Directors of the Company and may not be used, reproduced, disseminated, quoted or referred to, without the Placement Agent’s prior written consent.</w:t>
      </w:r>
    </w:p>
    <w:p>
      <w:pPr>
        <w:spacing w:after="0" w:line="130" w:lineRule="exact"/>
        <w:rPr>
          <w:rFonts w:ascii="Times New Roman" w:cs="Times New Roman" w:eastAsia="Times New Roman" w:hAnsi="Times New Roman"/>
          <w:sz w:val="18"/>
          <w:szCs w:val="18"/>
          <w:color w:val="auto"/>
        </w:rPr>
      </w:pPr>
    </w:p>
    <w:p>
      <w:pPr>
        <w:ind w:left="180" w:right="199" w:firstLine="652"/>
        <w:spacing w:after="0" w:line="237" w:lineRule="auto"/>
        <w:tabs>
          <w:tab w:leader="none" w:pos="112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Announcement of Offering</w:t>
      </w:r>
      <w:r>
        <w:rPr>
          <w:rFonts w:ascii="Times New Roman" w:cs="Times New Roman" w:eastAsia="Times New Roman" w:hAnsi="Times New Roman"/>
          <w:sz w:val="18"/>
          <w:szCs w:val="18"/>
          <w:color w:val="auto"/>
        </w:rPr>
        <w:t>. The Company acknowledges and agrees that the Placement Agent may, subsequent to the Closing, make public its involvement with the Offering.</w:t>
      </w:r>
    </w:p>
    <w:p>
      <w:pPr>
        <w:spacing w:after="0" w:line="131" w:lineRule="exact"/>
        <w:rPr>
          <w:rFonts w:ascii="Times New Roman" w:cs="Times New Roman" w:eastAsia="Times New Roman" w:hAnsi="Times New Roman"/>
          <w:sz w:val="18"/>
          <w:szCs w:val="18"/>
          <w:color w:val="auto"/>
        </w:rPr>
      </w:pPr>
    </w:p>
    <w:p>
      <w:pPr>
        <w:ind w:left="180" w:right="199" w:firstLine="652"/>
        <w:spacing w:after="0" w:line="237" w:lineRule="auto"/>
        <w:tabs>
          <w:tab w:leader="none" w:pos="108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The Company confirms that it will rely on its own counsel and accountants for legal and accounting advice.</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7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Matters</w:t>
      </w:r>
      <w:r>
        <w:rPr>
          <w:rFonts w:ascii="Times New Roman" w:cs="Times New Roman" w:eastAsia="Times New Roman" w:hAnsi="Times New Roman"/>
          <w:sz w:val="18"/>
          <w:szCs w:val="18"/>
          <w:color w:val="auto"/>
        </w:rPr>
        <w:t>. By entering into this Agreement, the Placement Agent provides no promise, either explicitly or implicitly, of favorable or continued research coverage of the Company and the Company hereby acknowledges and agrees that the Placement Agent’s selection as the placement agent for the Offering was in no way conditioned, explicitly or implicitly, on the Placement Agent’s providing favorable or any research coverage of the Company. In accordance with FINRA Rule 2711(e), the parties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81" w:name="page82"/>
    <w:bookmarkEnd w:id="81"/>
    <w:p>
      <w:pPr>
        <w:ind w:left="1040" w:hanging="208"/>
        <w:spacing w:after="0"/>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840" w:right="199" w:firstLine="640"/>
        <w:spacing w:after="0" w:line="231" w:lineRule="auto"/>
        <w:tabs>
          <w:tab w:leader="none" w:pos="171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neither the Company nor any Subsidiary shall issue, enter into any agreement to issue or announce the issuance or proposed issuance of any Common Stock or Common Stock Equivalents, except for the securities issued pursuant hereto.</w:t>
      </w:r>
    </w:p>
    <w:p>
      <w:pPr>
        <w:spacing w:after="0" w:line="117" w:lineRule="exact"/>
        <w:rPr>
          <w:rFonts w:ascii="Times New Roman" w:cs="Times New Roman" w:eastAsia="Times New Roman" w:hAnsi="Times New Roman"/>
          <w:sz w:val="18"/>
          <w:szCs w:val="18"/>
          <w:color w:val="auto"/>
        </w:rPr>
      </w:pPr>
    </w:p>
    <w:p>
      <w:pPr>
        <w:jc w:val="both"/>
        <w:ind w:left="840" w:right="199" w:firstLine="640"/>
        <w:spacing w:after="0" w:line="212" w:lineRule="auto"/>
        <w:tabs>
          <w:tab w:leader="none" w:pos="1793"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The Placement Agent shall be entitled to obtain injunctive relief against the Company to preclude any such issuance, which remedy shall be in addition to any right to collect damages.</w:t>
      </w:r>
    </w:p>
    <w:p>
      <w:pPr>
        <w:spacing w:after="0" w:line="139" w:lineRule="exact"/>
        <w:rPr>
          <w:rFonts w:ascii="Times New Roman" w:cs="Times New Roman" w:eastAsia="Times New Roman" w:hAnsi="Times New Roman"/>
          <w:sz w:val="18"/>
          <w:szCs w:val="18"/>
          <w:color w:val="auto"/>
        </w:rPr>
      </w:pPr>
    </w:p>
    <w:p>
      <w:pPr>
        <w:jc w:val="both"/>
        <w:ind w:left="840" w:right="199" w:firstLine="640"/>
        <w:spacing w:after="0" w:line="210" w:lineRule="auto"/>
        <w:tabs>
          <w:tab w:leader="none" w:pos="182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Section 4(i)(i) and (ii) shall not apply in respect of an Exempt Issuance. An “</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the issuance of (A) shares of Common Stock or options or other securities to employees, officers, directors or consultants of the Company pursuant to any employee benefit plan, equity incentive plan or other employee compensation plan existing on the date hereof or any stock or option plan duly adopted for such purpose, by a majority of the non-employee members of the Board of Directors or a majority of the members of a committee of non-employee directors established for such purpose for services rendered to the Company, (B) Common Stock issued upon the exercise or exchange of or conversion of any Securities issued pursuant to the Purchase Agreement or this Agreement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anti-dilution provisions contained therein as disclosed in the SEC Reports) or to extend the term of such securities, or securities issuable in connection with a transaction involving the Company and existing stockholders in which the Company offers the existing stockholders the option to exchange their shares of Common Stock for other securities of the Company,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4(i)(i) herein,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the issuance of the Securities in the Offering, and (E) the entry into and/or issuance of shares of Common Stock pursuant to a Regulation A+ offering with the Placement Agent as sales agent.</w:t>
      </w:r>
    </w:p>
    <w:p>
      <w:pPr>
        <w:spacing w:after="0" w:line="151"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Tail Fee</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180" w:right="199" w:firstLine="1948"/>
        <w:spacing w:after="0" w:line="231" w:lineRule="auto"/>
        <w:tabs>
          <w:tab w:leader="none" w:pos="2352"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Tail Fee</w:t>
      </w:r>
      <w:r>
        <w:rPr>
          <w:rFonts w:ascii="Times New Roman" w:cs="Times New Roman" w:eastAsia="Times New Roman" w:hAnsi="Times New Roman"/>
          <w:sz w:val="18"/>
          <w:szCs w:val="18"/>
          <w:color w:val="auto"/>
        </w:rPr>
        <w:t>. The Company and the Placement Agent agree that for a period of twelve (12) months from (i) the Closing Date of the Offering or (ii) if the Closing does not occur, the termination of this Agreement by the Company other than for Cause, the Placement Agent shall be entitled to compensation commensurate with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82" w:name="page83"/>
    <w:bookmarkEnd w:id="82"/>
    <w:p>
      <w:pPr>
        <w:jc w:val="both"/>
        <w:ind w:left="180" w:right="199"/>
        <w:spacing w:after="0" w:line="225" w:lineRule="auto"/>
        <w:rPr>
          <w:sz w:val="20"/>
          <w:szCs w:val="20"/>
          <w:color w:val="auto"/>
        </w:rPr>
      </w:pPr>
      <w:r>
        <w:rPr>
          <w:rFonts w:ascii="Times New Roman" w:cs="Times New Roman" w:eastAsia="Times New Roman" w:hAnsi="Times New Roman"/>
          <w:sz w:val="18"/>
          <w:szCs w:val="18"/>
          <w:color w:val="auto"/>
        </w:rPr>
        <w:t>those set forth under Section 1(a) (the “</w:t>
      </w:r>
      <w:r>
        <w:rPr>
          <w:rFonts w:ascii="Times New Roman" w:cs="Times New Roman" w:eastAsia="Times New Roman" w:hAnsi="Times New Roman"/>
          <w:sz w:val="18"/>
          <w:szCs w:val="18"/>
          <w:b w:val="1"/>
          <w:bCs w:val="1"/>
          <w:color w:val="auto"/>
        </w:rPr>
        <w:t>Tail Fee</w:t>
      </w:r>
      <w:r>
        <w:rPr>
          <w:rFonts w:ascii="Times New Roman" w:cs="Times New Roman" w:eastAsia="Times New Roman" w:hAnsi="Times New Roman"/>
          <w:sz w:val="18"/>
          <w:szCs w:val="18"/>
          <w:color w:val="auto"/>
        </w:rPr>
        <w:t>”), from the sale of any equity, debt and/or equity derivative instruments (other than the exercise by any person or entity of any options, warrants or other convertible securities) to</w:t>
      </w:r>
    </w:p>
    <w:p>
      <w:pPr>
        <w:spacing w:after="0" w:line="1"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any Purchaser actually introduced by the Placement Agent to the Company, but unknown to the Company prior to such introduction, during the period between the date of this Agreement and the Closing of the Offering or the termination of this Agreement, as applicable (each, a “</w:t>
      </w:r>
      <w:r>
        <w:rPr>
          <w:rFonts w:ascii="Times New Roman" w:cs="Times New Roman" w:eastAsia="Times New Roman" w:hAnsi="Times New Roman"/>
          <w:sz w:val="18"/>
          <w:szCs w:val="18"/>
          <w:b w:val="1"/>
          <w:bCs w:val="1"/>
          <w:color w:val="auto"/>
        </w:rPr>
        <w:t>Tail Financing</w:t>
      </w:r>
      <w:r>
        <w:rPr>
          <w:rFonts w:ascii="Times New Roman" w:cs="Times New Roman" w:eastAsia="Times New Roman" w:hAnsi="Times New Roman"/>
          <w:sz w:val="18"/>
          <w:szCs w:val="18"/>
          <w:color w:val="auto"/>
        </w:rPr>
        <w:t>”), and such Tail Financing is consummated at any time within</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twelve (12) month period from the Closing Date of the Offering or termination of this Agreement, as applicable.</w:t>
      </w:r>
    </w:p>
    <w:p>
      <w:pPr>
        <w:spacing w:after="0" w:line="124" w:lineRule="exact"/>
        <w:rPr>
          <w:sz w:val="20"/>
          <w:szCs w:val="20"/>
          <w:color w:val="auto"/>
        </w:rPr>
      </w:pPr>
    </w:p>
    <w:p>
      <w:pPr>
        <w:jc w:val="both"/>
        <w:ind w:left="180" w:right="199" w:firstLine="1948"/>
        <w:spacing w:after="0" w:line="224" w:lineRule="auto"/>
        <w:tabs>
          <w:tab w:leader="none" w:pos="240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Notwithstanding anything herein to the contrary, in accordance with FINRA Rule 5110(g)(5)(B), this Section 4(j) and the Tail Fee contemplated hereby may be terminated by the Company for “Cause”, which shall mean a material breach by the Placement Agent of this Agreement or a material failure by the Placement Agent to provide the services as contemplated by this Agreement.</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file a Current Report on Form 8-K disclosing the material terms of the transactions contemplated hereby with the SEC within the time required by the Exchange Act. From and after the issuance of any press release, the Company represents that it shall have publicly disclosed all material, non-public information delivered by the Company or any of its Subsidiaries, or any of their respective officers, directors, employees, Affiliates or agents, in connection with the transactions contemplated by the Transaction Documents. The Company and the Placement Agent shall consult with each other in issuing any other press releases with respect to the transactions contemplated hereby.</w:t>
      </w:r>
    </w:p>
    <w:p>
      <w:pPr>
        <w:spacing w:after="0" w:line="134" w:lineRule="exact"/>
        <w:rPr>
          <w:rFonts w:ascii="Times New Roman" w:cs="Times New Roman" w:eastAsia="Times New Roman" w:hAnsi="Times New Roman"/>
          <w:sz w:val="18"/>
          <w:szCs w:val="18"/>
          <w:color w:val="auto"/>
        </w:rPr>
      </w:pPr>
    </w:p>
    <w:p>
      <w:pPr>
        <w:jc w:val="both"/>
        <w:ind w:left="180" w:right="199" w:firstLine="652"/>
        <w:spacing w:after="0" w:line="210" w:lineRule="auto"/>
        <w:tabs>
          <w:tab w:leader="none" w:pos="113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Services</w:t>
      </w:r>
      <w:r>
        <w:rPr>
          <w:rFonts w:ascii="Times New Roman" w:cs="Times New Roman" w:eastAsia="Times New Roman" w:hAnsi="Times New Roman"/>
          <w:sz w:val="18"/>
          <w:szCs w:val="18"/>
          <w:color w:val="auto"/>
        </w:rPr>
        <w:t>. The Company and the Placement Agent agree that for a period of eighteen (18) months from the Closing Date, the Company grants the Placement Agent the right to provide investment banking services to the Company on an exclusive basis in the matters below, for which investment banking services are sought by the Company (such right, the “Right of First Refusal”), which right is exercisable in the Placement Agent’s sole discretion. For these purposes, investment banking services shall include, (a) acting as lead or joint-lead manager for any underwritten public offering; (b) acting as lead or joint book-runner and/or lead or joint placement agent, initial purchaser in connection with any private offering of securities of the Company;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provided, however, that the Right of First Refusal shall not apply to the sale, disposition or other transfer by the Company (or any of its subsidiaries), directly or indirectly, of the assets, operations and/or business located in Ohio (the “Ohio Asset Sale”), or any transaction or series of related transactions entered into in connection with, or as part of, the Ohio Asset Sale. The Placement Agent shall notify the Company of its intention to exercise the Right of First Refusal within 15 business days following notice in writing by the Company. Any decision by the Placement Agent to act in any such capacity shall be contained in separate agreements, which agreements would contain, among other matters, provisions for customary fees for transactions of similar size and nature, as may be mutually agreed upon, and indemnification of the Placement Agent and shall be subject to general market conditions. In compliance with FINRA Rule 5110(g)(6)(A), in no circumstances the Right of First Refusal shall have a duration of more than three years from the commencement of sales of the public offering or the termination date of the engagement between the Company and Univest. If the Placement Agent declines to exercise the Right of First Refusal, the Company shall have the right to retain any other person or persons to provide such services on terms and conditions which are not more favorable to such other person or persons than the terms declined by Univest. The Right of First Refusal granted hereunder may be terminated by the Company for "Cause," which shall mean a material breach by the Placement Agent of this Agreement or a material failure by the Placement Agent to provide the services as contemplated by this Agreement. The services provided by Univest hereunder are solely for the benefit of the Company and are not intended to confer any rights upon any persons or entities not a party hereto (including, without limitation, securityholders, employees or creditors of the Company) as against Univest or its directors, officers, agents and employees.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5. Conditions of the Obligations of the Placement Agent</w:t>
      </w:r>
      <w:r>
        <w:rPr>
          <w:rFonts w:ascii="Times New Roman" w:cs="Times New Roman" w:eastAsia="Times New Roman" w:hAnsi="Times New Roman"/>
          <w:sz w:val="18"/>
          <w:szCs w:val="18"/>
          <w:color w:val="auto"/>
        </w:rPr>
        <w:t>. The obligations of the Placement Agent hereunder</w:t>
      </w:r>
    </w:p>
    <w:p>
      <w:pPr>
        <w:spacing w:after="0" w:line="6"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 xml:space="preserve">shall be subject to the accuracy of the representations and warranties on the part of the Company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in each case as of the date hereof and as of the Closing Date as though then made, to the timely performance by each of the Company of its covenants and other obligations hereunder, and to each of the following additional</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conditions: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3" w:name="page84"/>
    <w:bookmarkEnd w:id="83"/>
    <w:p>
      <w:pPr>
        <w:jc w:val="both"/>
        <w:ind w:left="180" w:right="199" w:firstLine="652"/>
        <w:spacing w:after="0" w:line="224" w:lineRule="auto"/>
        <w:tabs>
          <w:tab w:leader="none" w:pos="10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legal matters in connection with this Agreement, the Transaction Documents and the issuance and sale of the Securities shall be reasonably satisfactory to the Placement Agent’s counsel, and such counsel shall have been furnished with such papers and information as it may reasonably have requested to enable such counsel to pass upon the matters referred to in this Section 5.</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20" w:lineRule="auto"/>
        <w:tabs>
          <w:tab w:leader="none" w:pos="108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execution and delivery of this Agreement and prior to the Closing Date, in the Placement Agent’s reasonable judgment after consultation with the Company, there shall not have occurred any material adverse change or development involving a prospective material adverse change in the condition or the business activities, financial or otherwise, of the Company from the latest dates as of which such condition is set forth in the Transaction Documents (each,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190" w:lineRule="exact"/>
        <w:tabs>
          <w:tab w:leader="none" w:pos="107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 for the Company</w:t>
      </w:r>
      <w:r>
        <w:rPr>
          <w:rFonts w:ascii="Times New Roman" w:cs="Times New Roman" w:eastAsia="Times New Roman" w:hAnsi="Times New Roman"/>
          <w:sz w:val="18"/>
          <w:szCs w:val="18"/>
          <w:color w:val="auto"/>
        </w:rPr>
        <w:t>. The Placement Agent shall have received, on the Closing Date, the written opinions of U.S. legal counsel to the Company, dated as of the Closing Date and addressed to the Placement Agent, with respect to (i) the due authorization, valid issuance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assessability of the Preferred Stock when issued in accordance with the terms of the applicable Transaction Documents, and (ii) the due authorization, valid issuance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assessability of the Common Stock when issued in accordance with the terms of the applicable Transaction Documents.</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0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Chief Executive Officer and Chief Financial Officer of the Company, in their respective capacities as such officers only, in a form satisfactory to the Placement Agent, to the effect that:</w:t>
      </w:r>
    </w:p>
    <w:p>
      <w:pPr>
        <w:spacing w:after="0" w:line="131" w:lineRule="exact"/>
        <w:rPr>
          <w:rFonts w:ascii="Times New Roman" w:cs="Times New Roman" w:eastAsia="Times New Roman" w:hAnsi="Times New Roman"/>
          <w:sz w:val="18"/>
          <w:szCs w:val="18"/>
          <w:color w:val="auto"/>
        </w:rPr>
      </w:pPr>
    </w:p>
    <w:p>
      <w:pPr>
        <w:jc w:val="both"/>
        <w:ind w:left="840" w:right="199" w:firstLine="640"/>
        <w:spacing w:after="0" w:line="220" w:lineRule="auto"/>
        <w:tabs>
          <w:tab w:leader="none" w:pos="171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in all material respects (except such representations and warranties which are qualified by materiality or by Material Adverse Effect, which shall be true and correct in all respects), as if made on and as of the Closing Date, and the Company has complied with all the agreements and satisfied all the conditions on its part to be performed or satisfied at or prior to the Closing Date; and</w:t>
      </w:r>
    </w:p>
    <w:p>
      <w:pPr>
        <w:spacing w:after="0" w:line="131" w:lineRule="exact"/>
        <w:rPr>
          <w:rFonts w:ascii="Times New Roman" w:cs="Times New Roman" w:eastAsia="Times New Roman" w:hAnsi="Times New Roman"/>
          <w:sz w:val="18"/>
          <w:szCs w:val="18"/>
          <w:color w:val="auto"/>
        </w:rPr>
      </w:pPr>
    </w:p>
    <w:p>
      <w:pPr>
        <w:jc w:val="both"/>
        <w:ind w:left="840" w:right="199" w:firstLine="640"/>
        <w:spacing w:after="0" w:line="215" w:lineRule="auto"/>
        <w:tabs>
          <w:tab w:leader="none" w:pos="181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Transaction Documents, there has not been: (i) any Material Adverse Change; (ii) any transaction that is material to the Company and the Subsidiaries taken as a whole, except transactions entered into in the ordinary course of business; (iii) any obligation, direct or contingent, that is material to the Company and the Subsidiaries taken as a whole, incurred by the Company or any Subsidiary, except obligations incurred in the ordinary course of business; (iv) any material change in the capital stock (except changes thereto resulting from the exercise of outstanding stock options or warrants) or outstanding indebtedness of the Company or any Subsidiary; (v) any dividend or distribution of any kind declared, paid or made on the capital stock of the Company; or (vi) any loss or damage (whether or not insured) to the property of the Company or any Subsidiary which has been sustained or will have been sustained which has a Material Adverse Effect.</w:t>
      </w:r>
    </w:p>
    <w:p>
      <w:pPr>
        <w:spacing w:after="0" w:line="116" w:lineRule="exact"/>
        <w:rPr>
          <w:rFonts w:ascii="Times New Roman" w:cs="Times New Roman" w:eastAsia="Times New Roman" w:hAnsi="Times New Roman"/>
          <w:sz w:val="18"/>
          <w:szCs w:val="18"/>
          <w:color w:val="auto"/>
        </w:rPr>
      </w:pPr>
    </w:p>
    <w:p>
      <w:pPr>
        <w:jc w:val="both"/>
        <w:ind w:left="180" w:right="199" w:firstLine="652"/>
        <w:spacing w:after="0" w:line="224" w:lineRule="auto"/>
        <w:tabs>
          <w:tab w:leader="none" w:pos="109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Chief Financial Officer of the Company, with respect to certain financial data contained in or incorporated by reference into Form 10-K, in a form satisfactory to the Placement Agent.</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15" w:lineRule="auto"/>
        <w:tabs>
          <w:tab w:leader="none" w:pos="106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Placement Agent shall have received on the Closing Date, a certificate of the Company, dated as of the Closing Date and which may be relied upon by the Placement Agent, signed by the Secretary of the Company, certifying, among others, (i) that each of the Company’s Amended and Restated Certificate of Incorporation and Amended and Restated Bylaws, and all amendments thereto, is true and complete, has not been modified and is in full force and effect; (ii) that the resolutions of the Company’s Board of Directors relating to the Offering are in full force and effect and have not been modified; (iii) that each of the Company and its Subsidiaries is in good standing under the laws of the jurisdiction of its incorporation or organization; and (iv) as to the incumbency of the officers of the Company, in a form reasonably acceptable to the Placement Agent.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84" w:name="page85"/>
    <w:bookmarkEnd w:id="84"/>
    <w:p>
      <w:pPr>
        <w:jc w:val="both"/>
        <w:ind w:left="180" w:right="199" w:firstLine="652"/>
        <w:spacing w:after="0" w:line="220" w:lineRule="auto"/>
        <w:tabs>
          <w:tab w:leader="none" w:pos="108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Registration and Stock Exchange Listing</w:t>
      </w:r>
      <w:r>
        <w:rPr>
          <w:rFonts w:ascii="Times New Roman" w:cs="Times New Roman" w:eastAsia="Times New Roman" w:hAnsi="Times New Roman"/>
          <w:sz w:val="18"/>
          <w:szCs w:val="18"/>
          <w:color w:val="auto"/>
        </w:rPr>
        <w:t>. The Common Stock shall be registered under the Exchange Act and shall be listed on the Trading Market, and the Company shall not have taken any action designed to terminate, or likely to have the effect of terminating, the registration of the Common Stock under the Exchange Act or delisting or suspending from trading the Common Stock from the Trading Market, nor shall the Company have received any information from the SEC or the Trading Market suggesting that the SEC or the Trading Market is contemplating terminating such registration or listing.</w:t>
      </w:r>
    </w:p>
    <w:p>
      <w:pPr>
        <w:spacing w:after="0" w:line="117" w:lineRule="exact"/>
        <w:rPr>
          <w:rFonts w:ascii="Times New Roman" w:cs="Times New Roman" w:eastAsia="Times New Roman" w:hAnsi="Times New Roman"/>
          <w:sz w:val="18"/>
          <w:szCs w:val="18"/>
          <w:color w:val="auto"/>
        </w:rPr>
      </w:pPr>
    </w:p>
    <w:p>
      <w:pPr>
        <w:jc w:val="both"/>
        <w:ind w:left="180" w:right="199" w:firstLine="652"/>
        <w:spacing w:after="0" w:line="223" w:lineRule="auto"/>
        <w:tabs>
          <w:tab w:leader="none" w:pos="111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the Closing Date, the Placement Agent and Placement Agent’s Counsel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not satisfied when and as required to be satisfied, this</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 xml:space="preserve">Agreement may be terminated by the Placement Agent by notice to the Company at any time on or prior to the Closing Date, which termination shall be without liability on the part of any party to any other party, except that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(Indemnification and Contribution)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(Representations and Indemnities to</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Survive Delivery) shall at all times be effective and shall survive such termination.</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right="199" w:firstLine="652"/>
        <w:spacing w:after="0" w:line="210" w:lineRule="auto"/>
        <w:tabs>
          <w:tab w:leader="none" w:pos="10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and the directors, officers, agents and employees of the Placement Agent, their respective affiliates and each such controlling person (the Placement Agent, and each such entity or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losses, claims, damages, judgments, assessments, costs and other liabilities (collectively, the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one counsel for all Indemnified Persons, except as otherwise expressly provided herein) (collectively, the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as they are incurred by an Indemnified Person in investigating, preparing, pursuing or defending any Proceedings, whether or not any Indemnified Person is a party thereto, (i) caused by, or arising out of or in connection with, any untrue statement or alleged untrue statement of a material fact contained in the Transaction Documents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Transaction Documents) or (ii) otherwise arising out of or in connection with advice or services rendered or to be rendered by any Indemnified Person pursuant to this Agreement, the transactions contemplated thereby or any</w:t>
      </w:r>
    </w:p>
    <w:p>
      <w:pPr>
        <w:spacing w:after="0" w:line="3"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 xml:space="preserve">Indemnified Person’s actions or inactions in connection with any such advice, services or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 (ii) only, the Company shall not be responsible for any Liabilities or Expenses of any Indemnified Person that are finally judicially determined to have resulted solely from</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such Indemnified Person’s (x) gross negligence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Company and which use constitutes gross negligence or willful misconduct. The Company also agrees to reimburse each Indemnified Person for all Expenses as they are incurred in connection with enforcing such Indemnified Person’s rights under this Agreement.</w:t>
      </w:r>
    </w:p>
    <w:p>
      <w:pPr>
        <w:spacing w:after="0" w:line="131" w:lineRule="exact"/>
        <w:rPr>
          <w:sz w:val="20"/>
          <w:szCs w:val="20"/>
          <w:color w:val="auto"/>
        </w:rPr>
      </w:pPr>
    </w:p>
    <w:p>
      <w:pPr>
        <w:jc w:val="both"/>
        <w:ind w:left="180" w:right="199" w:firstLine="652"/>
        <w:spacing w:after="0" w:line="215" w:lineRule="auto"/>
        <w:tabs>
          <w:tab w:leader="none" w:pos="108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an Indemnified Person of actual notice of an Proceeding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assume the defense of any such Proceeding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Proceeding (including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5" w:name="page86"/>
    <w:bookmarkEnd w:id="85"/>
    <w:p>
      <w:pPr>
        <w:jc w:val="both"/>
        <w:ind w:left="180" w:right="199"/>
        <w:spacing w:after="0" w:line="223" w:lineRule="auto"/>
        <w:rPr>
          <w:sz w:val="20"/>
          <w:szCs w:val="20"/>
          <w:color w:val="auto"/>
        </w:rPr>
      </w:pPr>
      <w:r>
        <w:rPr>
          <w:rFonts w:ascii="Times New Roman" w:cs="Times New Roman" w:eastAsia="Times New Roman" w:hAnsi="Times New Roman"/>
          <w:sz w:val="18"/>
          <w:szCs w:val="18"/>
          <w:color w:val="auto"/>
        </w:rPr>
        <w:t>any impeded parties) include such Indemnified Person and the Company, and such Indemnified Person shall have been advised in the reasonable opinion of counsel that there is an actual conflict of interest that prevents the counsel selected</w:t>
      </w: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Proceeding or related Proceedings, in</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addition to any local counsel. The Company shall not be liable for any settlement of any Proceeding effected without its written consent (which shall not be unreasonably withheld). In addition, the Company shall not, without the prior written consent of the Indemnified Person (which shall not be unreasonably withheld), settle, compromise or consent to</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the entry of any judgment in or otherwise seek to terminate any pending or threatened Proceeding in respect of which indemnification or contribution may be sought hereunder (whether or not such Indemnified Person is a party thereto) unless such settlement, compromise, consent or termination includes an unconditional release of each Indemnified</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Person from all Liabilities arising out of such Proceeding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131" w:lineRule="exact"/>
        <w:rPr>
          <w:sz w:val="20"/>
          <w:szCs w:val="20"/>
          <w:color w:val="auto"/>
        </w:rPr>
      </w:pPr>
    </w:p>
    <w:p>
      <w:pPr>
        <w:jc w:val="both"/>
        <w:ind w:left="180" w:right="199" w:firstLine="652"/>
        <w:spacing w:after="0" w:line="212" w:lineRule="auto"/>
        <w:tabs>
          <w:tab w:leader="none" w:pos="10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spacing w:after="0" w:line="131" w:lineRule="exact"/>
        <w:rPr>
          <w:rFonts w:ascii="Times New Roman" w:cs="Times New Roman" w:eastAsia="Times New Roman" w:hAnsi="Times New Roman"/>
          <w:sz w:val="18"/>
          <w:szCs w:val="18"/>
          <w:color w:val="auto"/>
        </w:rPr>
      </w:pPr>
    </w:p>
    <w:p>
      <w:pPr>
        <w:jc w:val="both"/>
        <w:ind w:left="180" w:right="199" w:firstLine="652"/>
        <w:spacing w:after="0" w:line="217" w:lineRule="auto"/>
        <w:tabs>
          <w:tab w:leader="none" w:pos="108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or willful misconduct in connection with any such advice, actions, inactions or services.</w:t>
      </w:r>
    </w:p>
    <w:p>
      <w:pPr>
        <w:spacing w:after="0" w:line="132" w:lineRule="exact"/>
        <w:rPr>
          <w:rFonts w:ascii="Times New Roman" w:cs="Times New Roman" w:eastAsia="Times New Roman" w:hAnsi="Times New Roman"/>
          <w:sz w:val="18"/>
          <w:szCs w:val="18"/>
          <w:color w:val="auto"/>
        </w:rPr>
      </w:pPr>
    </w:p>
    <w:p>
      <w:pPr>
        <w:jc w:val="both"/>
        <w:ind w:left="180" w:right="199" w:firstLine="652"/>
        <w:spacing w:after="0" w:line="231" w:lineRule="auto"/>
        <w:tabs>
          <w:tab w:leader="none" w:pos="107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7. Representations and Indemnities to Survive Delivery</w:t>
      </w:r>
      <w:r>
        <w:rPr>
          <w:rFonts w:ascii="Times New Roman" w:cs="Times New Roman" w:eastAsia="Times New Roman" w:hAnsi="Times New Roman"/>
          <w:sz w:val="18"/>
          <w:szCs w:val="18"/>
          <w:color w:val="auto"/>
        </w:rPr>
        <w:t>.  The  respective  indemnities,  agreements,</w:t>
      </w:r>
    </w:p>
    <w:p>
      <w:pPr>
        <w:spacing w:after="0" w:line="6"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representations, warranties and other 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partners, officers or directors or any controlling person, as the case may be, and will survive delivery of and payment for the Securities sold hereunder and any termination of this Agreement. A successor to the Placement Agent, or to the Company, its directors or officers or any person controlling the Company, shall be entitled to the benefits of the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indemnity, contribution and reimbursement agreements contained in this Agreement.</w:t>
      </w:r>
    </w:p>
    <w:p>
      <w:pPr>
        <w:spacing w:after="0" w:line="120" w:lineRule="exact"/>
        <w:rPr>
          <w:sz w:val="20"/>
          <w:szCs w:val="20"/>
          <w:color w:val="auto"/>
        </w:rPr>
      </w:pPr>
    </w:p>
    <w:p>
      <w:pPr>
        <w:jc w:val="both"/>
        <w:ind w:left="180" w:right="199"/>
        <w:spacing w:after="0" w:line="255" w:lineRule="auto"/>
        <w:rPr>
          <w:sz w:val="20"/>
          <w:szCs w:val="20"/>
          <w:color w:val="auto"/>
        </w:rPr>
      </w:pPr>
      <w:r>
        <w:rPr>
          <w:rFonts w:ascii="Times New Roman" w:cs="Times New Roman" w:eastAsia="Times New Roman" w:hAnsi="Times New Roman"/>
          <w:sz w:val="18"/>
          <w:szCs w:val="18"/>
          <w:b w:val="1"/>
          <w:bCs w:val="1"/>
          <w:color w:val="auto"/>
        </w:rPr>
        <w:t>Section 8. Notices</w:t>
      </w:r>
      <w:r>
        <w:rPr>
          <w:rFonts w:ascii="Times New Roman" w:cs="Times New Roman" w:eastAsia="Times New Roman" w:hAnsi="Times New Roman"/>
          <w:sz w:val="18"/>
          <w:szCs w:val="18"/>
          <w:color w:val="auto"/>
        </w:rPr>
        <w:t>. All communications hereunder shall be in writing and shall be overnight, next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hand delivered or e-mailed and confirmed to the parties hereto as follows: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6" w:name="page87"/>
    <w:bookmarkEnd w:id="86"/>
    <w:p>
      <w:pPr>
        <w:ind w:left="840"/>
        <w:spacing w:after="0"/>
        <w:rPr>
          <w:sz w:val="20"/>
          <w:szCs w:val="20"/>
          <w:color w:val="auto"/>
        </w:rPr>
      </w:pPr>
      <w:r>
        <w:rPr>
          <w:rFonts w:ascii="Times New Roman" w:cs="Times New Roman" w:eastAsia="Times New Roman" w:hAnsi="Times New Roman"/>
          <w:sz w:val="18"/>
          <w:szCs w:val="18"/>
          <w:color w:val="auto"/>
        </w:rPr>
        <w:t>If to the Placement Agent to the address set forth above, attention: Yi (Edric) Guo, Chief Executive Officer, e-</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mail: yguo@univest.us</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AquaBounty Technologies, Inc.</w:t>
      </w:r>
    </w:p>
    <w:p>
      <w:pPr>
        <w:ind w:left="840"/>
        <w:spacing w:after="0"/>
        <w:rPr>
          <w:sz w:val="20"/>
          <w:szCs w:val="20"/>
          <w:color w:val="auto"/>
        </w:rPr>
      </w:pPr>
      <w:r>
        <w:rPr>
          <w:rFonts w:ascii="Times New Roman" w:cs="Times New Roman" w:eastAsia="Times New Roman" w:hAnsi="Times New Roman"/>
          <w:sz w:val="18"/>
          <w:szCs w:val="18"/>
          <w:color w:val="auto"/>
        </w:rPr>
        <w:t>Attn: David Frank, Interim Chief Executive Officer and</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Chief Financial Officer</w:t>
      </w:r>
    </w:p>
    <w:p>
      <w:pPr>
        <w:ind w:left="840"/>
        <w:spacing w:after="0"/>
        <w:rPr>
          <w:sz w:val="20"/>
          <w:szCs w:val="20"/>
          <w:color w:val="auto"/>
        </w:rPr>
      </w:pPr>
      <w:r>
        <w:rPr>
          <w:rFonts w:ascii="Times New Roman" w:cs="Times New Roman" w:eastAsia="Times New Roman" w:hAnsi="Times New Roman"/>
          <w:sz w:val="18"/>
          <w:szCs w:val="18"/>
          <w:color w:val="auto"/>
        </w:rPr>
        <w:t>Email: dfrank@aquabounty.com</w:t>
      </w:r>
    </w:p>
    <w:p>
      <w:pPr>
        <w:spacing w:after="0" w:line="3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FBT Gibbons LLP Attn: James Giesel</w:t>
      </w:r>
    </w:p>
    <w:p>
      <w:pPr>
        <w:ind w:left="840"/>
        <w:spacing w:after="0"/>
        <w:rPr>
          <w:sz w:val="20"/>
          <w:szCs w:val="20"/>
          <w:color w:val="auto"/>
        </w:rPr>
      </w:pPr>
      <w:r>
        <w:rPr>
          <w:rFonts w:ascii="Times New Roman" w:cs="Times New Roman" w:eastAsia="Times New Roman" w:hAnsi="Times New Roman"/>
          <w:sz w:val="18"/>
          <w:szCs w:val="18"/>
          <w:color w:val="auto"/>
        </w:rPr>
        <w:t>Email: jgiesel@fbtgibbons.com</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154" w:lineRule="exact"/>
        <w:rPr>
          <w:sz w:val="20"/>
          <w:szCs w:val="20"/>
          <w:color w:val="auto"/>
        </w:rPr>
      </w:pPr>
    </w:p>
    <w:p>
      <w:pPr>
        <w:jc w:val="both"/>
        <w:ind w:left="180" w:right="199"/>
        <w:spacing w:after="0" w:line="227" w:lineRule="auto"/>
        <w:rPr>
          <w:sz w:val="20"/>
          <w:szCs w:val="20"/>
          <w:color w:val="auto"/>
        </w:rPr>
      </w:pPr>
      <w:r>
        <w:rPr>
          <w:rFonts w:ascii="Times New Roman" w:cs="Times New Roman" w:eastAsia="Times New Roman" w:hAnsi="Times New Roman"/>
          <w:sz w:val="18"/>
          <w:szCs w:val="18"/>
          <w:b w:val="1"/>
          <w:bCs w:val="1"/>
          <w:color w:val="auto"/>
        </w:rPr>
        <w:t>Section 9. Successors</w:t>
      </w:r>
      <w:r>
        <w:rPr>
          <w:rFonts w:ascii="Times New Roman" w:cs="Times New Roman" w:eastAsia="Times New Roman" w:hAnsi="Times New Roman"/>
          <w:sz w:val="18"/>
          <w:szCs w:val="18"/>
          <w:color w:val="auto"/>
        </w:rPr>
        <w:t>. This Agreement will inure to the benefit of and be binding upon the parties hereto, and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employees, officers and directors and controlling persons referred to in Section 7 hereof, and to their respective successors, and personal representative, and no other person will have any right or obligation hereunder.</w:t>
      </w:r>
    </w:p>
    <w:p>
      <w:pPr>
        <w:spacing w:after="0" w:line="128"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18"/>
          <w:szCs w:val="18"/>
          <w:b w:val="1"/>
          <w:bCs w:val="1"/>
          <w:color w:val="auto"/>
        </w:rPr>
        <w:t>Section 10. Partial Unenforceability</w:t>
      </w:r>
      <w:r>
        <w:rPr>
          <w:rFonts w:ascii="Times New Roman" w:cs="Times New Roman" w:eastAsia="Times New Roman" w:hAnsi="Times New Roman"/>
          <w:sz w:val="18"/>
          <w:szCs w:val="18"/>
          <w:color w:val="auto"/>
        </w:rPr>
        <w:t>. The invalidity or unenforceability of any section, paragraph or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not affect the validity or enforceability of any other section, paragraph or provision hereof. If any</w:t>
      </w: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Section, paragraph or provision of this Agreement is for any reason determined to be invalid or unenforceable, there shall be deemed to be made such minor changes (and only such minor changes) as are necessary to make it valid and enforceable.</w:t>
      </w:r>
    </w:p>
    <w:p>
      <w:pPr>
        <w:spacing w:after="0" w:line="127" w:lineRule="exact"/>
        <w:rPr>
          <w:sz w:val="20"/>
          <w:szCs w:val="20"/>
          <w:color w:val="auto"/>
        </w:rPr>
      </w:pPr>
    </w:p>
    <w:p>
      <w:pPr>
        <w:jc w:val="both"/>
        <w:ind w:left="180" w:right="199"/>
        <w:spacing w:after="0" w:line="225" w:lineRule="auto"/>
        <w:rPr>
          <w:sz w:val="20"/>
          <w:szCs w:val="20"/>
          <w:color w:val="auto"/>
        </w:rPr>
      </w:pPr>
      <w:r>
        <w:rPr>
          <w:rFonts w:ascii="Times New Roman" w:cs="Times New Roman" w:eastAsia="Times New Roman" w:hAnsi="Times New Roman"/>
          <w:sz w:val="18"/>
          <w:szCs w:val="18"/>
          <w:b w:val="1"/>
          <w:bCs w:val="1"/>
          <w:color w:val="auto"/>
        </w:rPr>
        <w:t>Section 11. Governing Law Provisions; Exclusive Jurisdiction</w:t>
      </w:r>
      <w:r>
        <w:rPr>
          <w:rFonts w:ascii="Times New Roman" w:cs="Times New Roman" w:eastAsia="Times New Roman" w:hAnsi="Times New Roman"/>
          <w:sz w:val="18"/>
          <w:szCs w:val="18"/>
          <w:color w:val="auto"/>
        </w:rPr>
        <w:t>. This Agreement and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shall be governed as to validity, interpretation, construction, effect and in all other respects by the internal laws</w:t>
      </w:r>
    </w:p>
    <w:p>
      <w:pPr>
        <w:jc w:val="both"/>
        <w:ind w:left="180" w:right="199"/>
        <w:spacing w:after="0" w:line="207" w:lineRule="auto"/>
        <w:rPr>
          <w:sz w:val="20"/>
          <w:szCs w:val="20"/>
          <w:color w:val="auto"/>
        </w:rPr>
      </w:pPr>
      <w:r>
        <w:rPr>
          <w:rFonts w:ascii="Times New Roman" w:cs="Times New Roman" w:eastAsia="Times New Roman" w:hAnsi="Times New Roman"/>
          <w:sz w:val="18"/>
          <w:szCs w:val="18"/>
          <w:color w:val="auto"/>
        </w:rPr>
        <w:t>of the State of New York. Each of the Placement Agent and the Company: (i) agrees that any legal suit, action or Proceeding arising out of or relating to this Agreement and/or the transactions contemplated hereby shall be instituted exclusively in the New York Supreme Court, County of New York, or in the United States District Court for the Southern District of New York, (ii) waives any objection which it may have or hereafter to the venue of any such suit,</w:t>
      </w:r>
    </w:p>
    <w:p>
      <w:pPr>
        <w:spacing w:after="0" w:line="1"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process upon the Company, in any such suit, action or Proceeding, and service of process upon the Placement Agent mailed by certified mail to the Placement Agent’s address shall be deemed in every respect effective service process upon the Placement Agent, in any such suit, action or Proceeding. If either party shall commence an action or</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Section 12. General Provisions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right="199" w:firstLine="652"/>
        <w:spacing w:after="0" w:line="220" w:lineRule="auto"/>
        <w:tabs>
          <w:tab w:leader="none" w:pos="10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87" w:name="page88"/>
    <w:bookmarkEnd w:id="87"/>
    <w:p>
      <w:pPr>
        <w:ind w:left="180" w:right="199"/>
        <w:spacing w:after="0" w:line="223" w:lineRule="auto"/>
        <w:rPr>
          <w:sz w:val="20"/>
          <w:szCs w:val="20"/>
          <w:color w:val="auto"/>
        </w:rPr>
      </w:pPr>
      <w:r>
        <w:rPr>
          <w:rFonts w:ascii="Times New Roman" w:cs="Times New Roman" w:eastAsia="Times New Roman" w:hAnsi="Times New Roman"/>
          <w:sz w:val="18"/>
          <w:szCs w:val="18"/>
          <w:color w:val="auto"/>
        </w:rPr>
        <w:t>may be waived unless waived in writing by each party whom the condition is meant to benefit. Section headings herein are for the convenience of the parties only and shall not affect the construction or interpretation of this Agreement. If</w:t>
      </w:r>
    </w:p>
    <w:p>
      <w:pPr>
        <w:ind w:left="180" w:right="199"/>
        <w:spacing w:after="0" w:line="226" w:lineRule="auto"/>
        <w:rPr>
          <w:sz w:val="20"/>
          <w:szCs w:val="20"/>
          <w:color w:val="auto"/>
        </w:rPr>
      </w:pPr>
      <w:r>
        <w:rPr>
          <w:rFonts w:ascii="Times New Roman" w:cs="Times New Roman" w:eastAsia="Times New Roman" w:hAnsi="Times New Roman"/>
          <w:sz w:val="18"/>
          <w:szCs w:val="18"/>
          <w:color w:val="auto"/>
        </w:rPr>
        <w:t>any provision contained in this Agreement is in conflict with, or inconsistent with, any provision in the Purchase Agreement, the terms of the Purchase Agreement shall govern and control.</w:t>
      </w:r>
    </w:p>
    <w:p>
      <w:pPr>
        <w:spacing w:after="0" w:line="130" w:lineRule="exact"/>
        <w:rPr>
          <w:sz w:val="20"/>
          <w:szCs w:val="20"/>
          <w:color w:val="auto"/>
        </w:rPr>
      </w:pPr>
    </w:p>
    <w:p>
      <w:pPr>
        <w:jc w:val="both"/>
        <w:ind w:left="180" w:right="199" w:firstLine="652"/>
        <w:spacing w:after="0" w:line="217" w:lineRule="auto"/>
        <w:tabs>
          <w:tab w:leader="none" w:pos="108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Securities: (i) the Placement Agent has acted at arm’s length, is not an agent of, and owes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Securities.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552894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8" w:name="page89"/>
    <w:bookmarkEnd w:id="88"/>
    <w:p>
      <w:pPr>
        <w:ind w:left="180" w:right="199" w:firstLine="648"/>
        <w:spacing w:after="0" w:line="237"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AquaBounty Technologies, Inc.</w:t>
      </w:r>
    </w:p>
    <w:p>
      <w:pPr>
        <w:spacing w:after="0" w:line="110" w:lineRule="exact"/>
        <w:rPr>
          <w:sz w:val="20"/>
          <w:szCs w:val="20"/>
          <w:color w:val="auto"/>
        </w:rPr>
      </w:pPr>
    </w:p>
    <w:p>
      <w:pPr>
        <w:ind w:left="180"/>
        <w:spacing w:after="0"/>
        <w:tabs>
          <w:tab w:leader="none" w:pos="660" w:val="left"/>
        </w:tabs>
        <w:rPr>
          <w:sz w:val="20"/>
          <w:szCs w:val="20"/>
          <w:color w:val="auto"/>
        </w:rPr>
      </w:pPr>
      <w:r>
        <w:rPr>
          <w:rFonts w:ascii="Times New Roman" w:cs="Times New Roman" w:eastAsia="Times New Roman" w:hAnsi="Times New Roman"/>
          <w:sz w:val="18"/>
          <w:szCs w:val="18"/>
          <w:color w:val="auto"/>
        </w:rPr>
        <w:t>By:</w:t>
        <w:tab/>
        <w:t>/s/ David A. Frank</w:t>
      </w:r>
    </w:p>
    <w:p>
      <w:pPr>
        <w:ind w:left="180"/>
        <w:spacing w:after="0" w:line="219" w:lineRule="auto"/>
        <w:rPr>
          <w:sz w:val="20"/>
          <w:szCs w:val="20"/>
          <w:color w:val="auto"/>
        </w:rPr>
      </w:pPr>
      <w:r>
        <w:rPr>
          <w:rFonts w:ascii="Times New Roman" w:cs="Times New Roman" w:eastAsia="Times New Roman" w:hAnsi="Times New Roman"/>
          <w:sz w:val="18"/>
          <w:szCs w:val="18"/>
          <w:color w:val="auto"/>
        </w:rPr>
        <w:t>Name: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-111760</wp:posOffset>
            </wp:positionV>
            <wp:extent cx="24517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137" w:lineRule="exact"/>
        <w:rPr>
          <w:sz w:val="20"/>
          <w:szCs w:val="20"/>
          <w:color w:val="auto"/>
        </w:rPr>
      </w:pPr>
    </w:p>
    <w:p>
      <w:pPr>
        <w:ind w:left="180"/>
        <w:spacing w:after="0"/>
        <w:tabs>
          <w:tab w:leader="none" w:pos="660" w:val="left"/>
        </w:tabs>
        <w:rPr>
          <w:sz w:val="20"/>
          <w:szCs w:val="20"/>
          <w:color w:val="auto"/>
        </w:rPr>
      </w:pPr>
      <w:r>
        <w:rPr>
          <w:rFonts w:ascii="Times New Roman" w:cs="Times New Roman" w:eastAsia="Times New Roman" w:hAnsi="Times New Roman"/>
          <w:sz w:val="18"/>
          <w:szCs w:val="18"/>
          <w:color w:val="auto"/>
        </w:rPr>
        <w:t>By:</w:t>
        <w:tab/>
        <w:t>/s/Bradley Richmond</w:t>
      </w:r>
    </w:p>
    <w:p>
      <w:pPr>
        <w:ind w:left="180"/>
        <w:spacing w:after="0" w:line="219" w:lineRule="auto"/>
        <w:rPr>
          <w:sz w:val="20"/>
          <w:szCs w:val="20"/>
          <w:color w:val="auto"/>
        </w:rPr>
      </w:pPr>
      <w:r>
        <w:rPr>
          <w:rFonts w:ascii="Times New Roman" w:cs="Times New Roman" w:eastAsia="Times New Roman" w:hAnsi="Times New Roman"/>
          <w:sz w:val="18"/>
          <w:szCs w:val="18"/>
          <w:color w:val="auto"/>
        </w:rPr>
        <w:t>Name:Bradley Richmond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-111760</wp:posOffset>
            </wp:positionV>
            <wp:extent cx="24517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0147620.0810887  4912-3188-3677v2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193040</wp:posOffset>
            </wp:positionV>
            <wp:extent cx="552894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o"/>
      <w:numFmt w:val="bullet"/>
      <w:start w:val="1"/>
    </w:lvl>
  </w:abstractNum>
  <w:abstractNum w:abstractNumId="1">
    <w:nsid w:val="1CF10FD8"/>
    <w:multiLevelType w:val="hybridMultilevel"/>
    <w:lvl w:ilvl="0">
      <w:lvlJc w:val="left"/>
      <w:lvlText w:val="*"/>
      <w:numFmt w:val="bullet"/>
      <w:start w:val="1"/>
    </w:lvl>
    <w:lvl w:ilvl="1">
      <w:lvlJc w:val="left"/>
      <w:lvlText w:val="%2"/>
      <w:numFmt w:val="decimal"/>
      <w:start w:val="104"/>
    </w:lvl>
  </w:abstractNum>
  <w:abstractNum w:abstractNumId="2">
    <w:nsid w:val="180115BE"/>
    <w:multiLevelType w:val="hybridMultilevel"/>
    <w:lvl w:ilvl="0">
      <w:lvlJc w:val="left"/>
      <w:lvlText w:val="%1."/>
      <w:numFmt w:val="decimal"/>
      <w:start w:val="1"/>
    </w:lvl>
  </w:abstractNum>
  <w:abstractNum w:abstractNumId="3">
    <w:nsid w:val="235BA861"/>
    <w:multiLevelType w:val="hybridMultilevel"/>
    <w:lvl w:ilvl="0">
      <w:lvlJc w:val="left"/>
      <w:lvlText w:val="(%1)"/>
      <w:numFmt w:val="lowerLetter"/>
      <w:start w:val="1"/>
    </w:lvl>
  </w:abstractNum>
  <w:abstractNum w:abstractNumId="4">
    <w:nsid w:val="47398C89"/>
    <w:multiLevelType w:val="hybridMultilevel"/>
    <w:lvl w:ilvl="0">
      <w:lvlJc w:val="left"/>
      <w:lvlText w:val="%1."/>
      <w:numFmt w:val="decimal"/>
      <w:start w:val="3"/>
    </w:lvl>
  </w:abstractNum>
  <w:abstractNum w:abstractNumId="5">
    <w:nsid w:val="354FE9F9"/>
    <w:multiLevelType w:val="hybridMultilevel"/>
    <w:lvl w:ilvl="0">
      <w:lvlJc w:val="left"/>
      <w:lvlText w:val="%1."/>
      <w:numFmt w:val="decimal"/>
      <w:start w:val="5"/>
    </w:lvl>
  </w:abstractNum>
  <w:abstractNum w:abstractNumId="6">
    <w:nsid w:val="15B5AF5C"/>
    <w:multiLevelType w:val="hybridMultilevel"/>
    <w:lvl w:ilvl="0">
      <w:lvlJc w:val="left"/>
      <w:lvlText w:val="%1"/>
      <w:numFmt w:val="lowerLetter"/>
      <w:start w:val="1"/>
    </w:lvl>
    <w:lvl w:ilvl="1">
      <w:lvlJc w:val="left"/>
      <w:lvlText w:val="(%2)"/>
      <w:numFmt w:val="lowerLetter"/>
      <w:start w:val="1"/>
    </w:lvl>
  </w:abstractNum>
  <w:abstractNum w:abstractNumId="7">
    <w:nsid w:val="741226BB"/>
    <w:multiLevelType w:val="hybridMultilevel"/>
    <w:lvl w:ilvl="0">
      <w:lvlJc w:val="left"/>
      <w:lvlText w:val="(%1)"/>
      <w:numFmt w:val="lowerLetter"/>
      <w:start w:val="35"/>
    </w:lvl>
    <w:lvl w:ilvl="1">
      <w:lvlJc w:val="left"/>
      <w:lvlText w:val="%2"/>
      <w:numFmt w:val="lowerLetter"/>
      <w:start w:val="1"/>
    </w:lvl>
  </w:abstractNum>
  <w:abstractNum w:abstractNumId="8">
    <w:nsid w:val="D34B6A8"/>
    <w:multiLevelType w:val="hybridMultilevel"/>
    <w:lvl w:ilvl="0">
      <w:lvlJc w:val="left"/>
      <w:lvlText w:val="(%1)"/>
      <w:numFmt w:val="lowerLetter"/>
      <w:start w:val="2"/>
    </w:lvl>
  </w:abstractNum>
  <w:abstractNum w:abstractNumId="9">
    <w:nsid w:val="10233C99"/>
    <w:multiLevelType w:val="hybridMultilevel"/>
    <w:lvl w:ilvl="0">
      <w:lvlJc w:val="left"/>
      <w:lvlText w:val="%1."/>
      <w:numFmt w:val="decimal"/>
      <w:start w:val="6"/>
    </w:lvl>
  </w:abstractNum>
  <w:abstractNum w:abstractNumId="10">
    <w:nsid w:val="3F6AB60F"/>
    <w:multiLevelType w:val="hybridMultilevel"/>
    <w:lvl w:ilvl="0">
      <w:lvlJc w:val="left"/>
      <w:lvlText w:val="(%1)"/>
      <w:numFmt w:val="lowerLetter"/>
      <w:start w:val="1"/>
    </w:lvl>
  </w:abstractNum>
  <w:abstractNum w:abstractNumId="11">
    <w:nsid w:val="61574095"/>
    <w:multiLevelType w:val="hybridMultilevel"/>
    <w:lvl w:ilvl="0">
      <w:lvlJc w:val="left"/>
      <w:lvlText w:val="(%1)"/>
      <w:numFmt w:val="lowerLetter"/>
      <w:start w:val="3"/>
    </w:lvl>
  </w:abstractNum>
  <w:abstractNum w:abstractNumId="12">
    <w:nsid w:val="7E0C57B1"/>
    <w:multiLevelType w:val="hybridMultilevel"/>
    <w:lvl w:ilvl="0">
      <w:lvlJc w:val="left"/>
      <w:lvlText w:val="%1."/>
      <w:numFmt w:val="decimal"/>
      <w:start w:val="7"/>
    </w:lvl>
  </w:abstractNum>
  <w:abstractNum w:abstractNumId="13">
    <w:nsid w:val="77AE35EB"/>
    <w:multiLevelType w:val="hybridMultilevel"/>
    <w:lvl w:ilvl="0">
      <w:lvlJc w:val="left"/>
      <w:lvlText w:val="(%1)"/>
      <w:numFmt w:val="decimal"/>
      <w:start w:val="10"/>
    </w:lvl>
    <w:lvl w:ilvl="1">
      <w:lvlJc w:val="left"/>
      <w:lvlText w:val="(%2)"/>
      <w:numFmt w:val="lowerLetter"/>
      <w:start w:val="1"/>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decimal"/>
      <w:start w:val="8"/>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lowerLetter"/>
      <w:start w:val="1"/>
    </w:lvl>
  </w:abstractNum>
  <w:abstractNum w:abstractNumId="18">
    <w:nsid w:val="25A70BF7"/>
    <w:multiLevelType w:val="hybridMultilevel"/>
    <w:lvl w:ilvl="0">
      <w:lvlJc w:val="left"/>
      <w:lvlText w:val="(%1)"/>
      <w:numFmt w:val="lowerLetter"/>
      <w:start w:val="1"/>
    </w:lvl>
  </w:abstractNum>
  <w:abstractNum w:abstractNumId="19">
    <w:nsid w:val="1DBABF00"/>
    <w:multiLevelType w:val="hybridMultilevel"/>
    <w:lvl w:ilvl="0">
      <w:lvlJc w:val="left"/>
      <w:lvlText w:val="(%1)"/>
      <w:numFmt w:val="lowerLetter"/>
      <w:start w:val="2"/>
    </w:lvl>
    <w:lvl w:ilvl="1">
      <w:lvlJc w:val="left"/>
      <w:lvlText w:val="(%2)"/>
      <w:numFmt w:val="lowerRoman"/>
      <w:start w:val="1"/>
    </w:lvl>
  </w:abstractNum>
  <w:abstractNum w:abstractNumId="20">
    <w:nsid w:val="4AD084E9"/>
    <w:multiLevelType w:val="hybridMultilevel"/>
    <w:lvl w:ilvl="0">
      <w:lvlJc w:val="left"/>
      <w:lvlText w:val="%1."/>
      <w:numFmt w:val="decimal"/>
      <w:start w:val="9"/>
    </w:lvl>
  </w:abstractNum>
  <w:abstractNum w:abstractNumId="21">
    <w:nsid w:val="1F48EAA1"/>
    <w:multiLevelType w:val="hybridMultilevel"/>
    <w:lvl w:ilvl="0">
      <w:lvlJc w:val="left"/>
      <w:lvlText w:val="%1"/>
      <w:numFmt w:val="lowerLetter"/>
      <w:start w:val="1"/>
    </w:lvl>
    <w:lvl w:ilvl="1">
      <w:lvlJc w:val="left"/>
      <w:lvlText w:val="(%2)"/>
      <w:numFmt w:val="lowerLetter"/>
      <w:start w:val="1"/>
    </w:lvl>
  </w:abstractNum>
  <w:abstractNum w:abstractNumId="22">
    <w:nsid w:val="1381823A"/>
    <w:multiLevelType w:val="hybridMultilevel"/>
    <w:lvl w:ilvl="0">
      <w:lvlJc w:val="left"/>
      <w:lvlText w:val="(%1)"/>
      <w:numFmt w:val="lowerLetter"/>
      <w:start w:val="35"/>
    </w:lvl>
    <w:lvl w:ilvl="1">
      <w:lvlJc w:val="left"/>
      <w:lvlText w:val="%2"/>
      <w:numFmt w:val="lowerLetter"/>
      <w:start w:val="1"/>
    </w:lvl>
  </w:abstractNum>
  <w:abstractNum w:abstractNumId="23">
    <w:nsid w:val="5DB70A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
    <w:nsid w:val="100F8FCA"/>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5">
    <w:nsid w:val="6590700B"/>
    <w:multiLevelType w:val="hybridMultilevel"/>
    <w:lvl w:ilvl="0">
      <w:lvlJc w:val="left"/>
      <w:lvlText w:val="(%1)"/>
      <w:numFmt w:val="lowerLetter"/>
      <w:start w:val="3"/>
    </w:lvl>
    <w:lvl w:ilvl="1">
      <w:lvlJc w:val="left"/>
      <w:lvlText w:val="%2."/>
      <w:numFmt w:val="decimal"/>
      <w:start w:val="12"/>
    </w:lvl>
    <w:lvl w:ilvl="2">
      <w:lvlJc w:val="left"/>
      <w:lvlText w:val="%3"/>
      <w:numFmt w:val="lowerLetter"/>
      <w:start w:val="1"/>
    </w:lvl>
  </w:abstractNum>
  <w:abstractNum w:abstractNumId="26">
    <w:nsid w:val="15014ACB"/>
    <w:multiLevelType w:val="hybridMultilevel"/>
    <w:lvl w:ilvl="0">
      <w:lvlJc w:val="left"/>
      <w:lvlText w:val="(%1)"/>
      <w:numFmt w:val="lowerLetter"/>
      <w:start w:val="1"/>
    </w:lvl>
  </w:abstractNum>
  <w:abstractNum w:abstractNumId="27">
    <w:nsid w:val="5F5E7FD0"/>
    <w:multiLevelType w:val="hybridMultilevel"/>
    <w:lvl w:ilvl="0">
      <w:lvlJc w:val="left"/>
      <w:lvlText w:val="(%1)"/>
      <w:numFmt w:val="lowerLetter"/>
      <w:start w:val="1"/>
    </w:lvl>
  </w:abstractNum>
  <w:abstractNum w:abstractNumId="28">
    <w:nsid w:val="98A3148"/>
    <w:multiLevelType w:val="hybridMultilevel"/>
    <w:lvl w:ilvl="0">
      <w:lvlJc w:val="left"/>
      <w:lvlText w:val="(%1)"/>
      <w:numFmt w:val="lowerLetter"/>
      <w:start w:val="1"/>
    </w:lvl>
    <w:lvl w:ilvl="1">
      <w:lvlJc w:val="left"/>
      <w:lvlText w:val="(%2)"/>
      <w:numFmt w:val="lowerRoman"/>
      <w:start w:val="1"/>
    </w:lvl>
  </w:abstractNum>
  <w:abstractNum w:abstractNumId="29">
    <w:nsid w:val="799D0247"/>
    <w:multiLevelType w:val="hybridMultilevel"/>
    <w:lvl w:ilvl="0">
      <w:lvlJc w:val="left"/>
      <w:lvlText w:val="(%1)"/>
      <w:numFmt w:val="lowerRoman"/>
      <w:start w:val="1"/>
    </w:lvl>
  </w:abstractNum>
  <w:abstractNum w:abstractNumId="30">
    <w:nsid w:val="6B94764"/>
    <w:multiLevelType w:val="hybridMultilevel"/>
    <w:lvl w:ilvl="0">
      <w:lvlJc w:val="left"/>
      <w:lvlText w:val="%1"/>
      <w:numFmt w:val="upperLetter"/>
      <w:start w:val="1"/>
    </w:lvl>
    <w:lvl w:ilvl="1">
      <w:lvlJc w:val="left"/>
      <w:lvlText w:val="(%2)"/>
      <w:numFmt w:val="lowerRoman"/>
      <w:start w:val="2"/>
    </w:lvl>
  </w:abstractNum>
  <w:abstractNum w:abstractNumId="31">
    <w:nsid w:val="42C296BD"/>
    <w:multiLevelType w:val="hybridMultilevel"/>
    <w:lvl w:ilvl="0">
      <w:lvlJc w:val="left"/>
      <w:lvlText w:val="(%1)"/>
      <w:numFmt w:val="upperLetter"/>
      <w:start w:val="1"/>
    </w:lvl>
    <w:lvl w:ilvl="1">
      <w:lvlJc w:val="left"/>
      <w:lvlText w:val="%2"/>
      <w:numFmt w:val="lowerRoman"/>
      <w:start w:val="1"/>
    </w:lvl>
  </w:abstractNum>
  <w:abstractNum w:abstractNumId="32">
    <w:nsid w:val="168E121F"/>
    <w:multiLevelType w:val="hybridMultilevel"/>
    <w:lvl w:ilvl="0">
      <w:lvlJc w:val="left"/>
      <w:lvlText w:val="(%1)"/>
      <w:numFmt w:val="lowerLetter"/>
      <w:start w:val="1"/>
    </w:lvl>
    <w:lvl w:ilvl="1">
      <w:lvlJc w:val="left"/>
      <w:lvlText w:val="(%2)"/>
      <w:numFmt w:val="lowerRoman"/>
      <w:start w:val="1"/>
    </w:lvl>
  </w:abstractNum>
  <w:abstractNum w:abstractNumId="33">
    <w:nsid w:val="1EBA5D2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4">
    <w:nsid w:val="661E3F1E"/>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35">
    <w:nsid w:val="5DC79EA8"/>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6">
    <w:nsid w:val="540A471C"/>
    <w:multiLevelType w:val="hybridMultilevel"/>
    <w:lvl w:ilvl="0">
      <w:lvlJc w:val="left"/>
      <w:lvlText w:val="(%1)"/>
      <w:numFmt w:val="lowerLetter"/>
      <w:start w:val="61"/>
    </w:lvl>
    <w:lvl w:ilvl="1">
      <w:lvlJc w:val="left"/>
      <w:lvlText w:val="(%2)"/>
      <w:numFmt w:val="lowerLetter"/>
      <w:start w:val="6"/>
    </w:lvl>
    <w:lvl w:ilvl="2">
      <w:lvlJc w:val="left"/>
      <w:lvlText w:val="(%3)"/>
      <w:numFmt w:val="lowerRoman"/>
      <w:start w:val="1"/>
    </w:lvl>
  </w:abstractNum>
  <w:abstractNum w:abstractNumId="37">
    <w:nsid w:val="7BD3EE7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38">
    <w:nsid w:val="51D9C564"/>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39">
    <w:nsid w:val="613EFDC5"/>
    <w:multiLevelType w:val="hybridMultilevel"/>
    <w:lvl w:ilvl="0">
      <w:lvlJc w:val="left"/>
      <w:lvlText w:val="(%1)"/>
      <w:numFmt w:val="lowerLetter"/>
      <w:start w:val="22"/>
    </w:lvl>
    <w:lvl w:ilvl="1">
      <w:lvlJc w:val="left"/>
      <w:lvlText w:val="(%2)"/>
      <w:numFmt w:val="lowerLetter"/>
      <w:start w:val="8"/>
    </w:lvl>
    <w:lvl w:ilvl="2">
      <w:lvlJc w:val="left"/>
      <w:lvlText w:val="%3"/>
      <w:numFmt w:val="lowerRoman"/>
      <w:start w:val="1"/>
    </w:lvl>
  </w:abstractNum>
  <w:abstractNum w:abstractNumId="40">
    <w:nsid w:val="BF72B14"/>
    <w:multiLevelType w:val="hybridMultilevel"/>
    <w:lvl w:ilvl="0">
      <w:lvlJc w:val="left"/>
      <w:lvlText w:val="(%1)"/>
      <w:numFmt w:val="lowerLetter"/>
      <w:start w:val="9"/>
    </w:lvl>
  </w:abstractNum>
  <w:abstractNum w:abstractNumId="41">
    <w:nsid w:val="11447B73"/>
    <w:multiLevelType w:val="hybridMultilevel"/>
    <w:lvl w:ilvl="0">
      <w:lvlJc w:val="left"/>
      <w:lvlText w:val="%1"/>
      <w:numFmt w:val="lowerRoman"/>
      <w:start w:val="1"/>
    </w:lvl>
    <w:lvl w:ilvl="1">
      <w:lvlJc w:val="left"/>
      <w:lvlText w:val="(%2)"/>
      <w:numFmt w:val="lowerLetter"/>
      <w:start w:val="14"/>
    </w:lvl>
  </w:abstractNum>
  <w:abstractNum w:abstractNumId="42">
    <w:nsid w:val="42963E5A"/>
    <w:multiLevelType w:val="hybridMultilevel"/>
    <w:lvl w:ilvl="0">
      <w:lvlJc w:val="left"/>
      <w:lvlText w:val="(%1)"/>
      <w:numFmt w:val="lowerRoman"/>
      <w:start w:val="2"/>
    </w:lvl>
    <w:lvl w:ilvl="1">
      <w:lvlJc w:val="left"/>
      <w:lvlText w:val="(%2)"/>
      <w:numFmt w:val="lowerLetter"/>
      <w:start w:val="16"/>
    </w:lvl>
  </w:abstractNum>
  <w:abstractNum w:abstractNumId="43">
    <w:nsid w:val="A0382C5"/>
    <w:multiLevelType w:val="hybridMultilevel"/>
    <w:lvl w:ilvl="0">
      <w:lvlJc w:val="left"/>
      <w:lvlText w:val="(%1)"/>
      <w:numFmt w:val="lowerRoman"/>
      <w:start w:val="3"/>
    </w:lvl>
    <w:lvl w:ilvl="1">
      <w:lvlJc w:val="left"/>
      <w:lvlText w:val="(%2)"/>
      <w:numFmt w:val="lowerLetter"/>
      <w:start w:val="17"/>
    </w:lvl>
  </w:abstractNum>
  <w:abstractNum w:abstractNumId="44">
    <w:nsid w:val="8F2B15E"/>
    <w:multiLevelType w:val="hybridMultilevel"/>
    <w:lvl w:ilvl="0">
      <w:lvlJc w:val="left"/>
      <w:lvlText w:val="(%1)"/>
      <w:numFmt w:val="lowerLetter"/>
      <w:start w:val="18"/>
    </w:lvl>
  </w:abstractNum>
  <w:abstractNum w:abstractNumId="45">
    <w:nsid w:val="1A32234B"/>
    <w:multiLevelType w:val="hybridMultilevel"/>
    <w:lvl w:ilvl="0">
      <w:lvlJc w:val="left"/>
      <w:lvlText w:val="(%1)"/>
      <w:numFmt w:val="lowerLetter"/>
      <w:start w:val="22"/>
    </w:lvl>
  </w:abstractNum>
  <w:abstractNum w:abstractNumId="46">
    <w:nsid w:val="3B0FD379"/>
    <w:multiLevelType w:val="hybridMultilevel"/>
    <w:lvl w:ilvl="0">
      <w:lvlJc w:val="left"/>
      <w:lvlText w:val="(%1)"/>
      <w:numFmt w:val="lowerLetter"/>
      <w:start w:val="27"/>
    </w:lvl>
  </w:abstractNum>
  <w:abstractNum w:abstractNumId="47">
    <w:nsid w:val="68EB2F63"/>
    <w:multiLevelType w:val="hybridMultilevel"/>
    <w:lvl w:ilvl="0">
      <w:lvlJc w:val="left"/>
      <w:lvlText w:val="(%1)"/>
      <w:numFmt w:val="lowerLetter"/>
      <w:start w:val="28"/>
    </w:lvl>
  </w:abstractNum>
  <w:abstractNum w:abstractNumId="48">
    <w:nsid w:val="4962813B"/>
    <w:multiLevelType w:val="hybridMultilevel"/>
    <w:lvl w:ilvl="0">
      <w:lvlJc w:val="left"/>
      <w:lvlText w:val="(%1)"/>
      <w:numFmt w:val="lowerLetter"/>
      <w:start w:val="1"/>
    </w:lvl>
  </w:abstractNum>
  <w:abstractNum w:abstractNumId="49">
    <w:nsid w:val="60B6DF70"/>
    <w:multiLevelType w:val="hybridMultilevel"/>
    <w:lvl w:ilvl="0">
      <w:lvlJc w:val="left"/>
      <w:lvlText w:val="(%1)"/>
      <w:numFmt w:val="lowerLetter"/>
      <w:start w:val="3"/>
    </w:lvl>
  </w:abstractNum>
  <w:abstractNum w:abstractNumId="50">
    <w:nsid w:val="6A5EE64"/>
    <w:multiLevelType w:val="hybridMultilevel"/>
    <w:lvl w:ilvl="0">
      <w:lvlJc w:val="left"/>
      <w:lvlText w:val="(%1)"/>
      <w:numFmt w:val="lowerLetter"/>
      <w:start w:val="6"/>
    </w:lvl>
    <w:lvl w:ilvl="1">
      <w:lvlJc w:val="left"/>
      <w:lvlText w:val="(%2)"/>
      <w:numFmt w:val="lowerRoman"/>
      <w:start w:val="1"/>
    </w:lvl>
  </w:abstractNum>
  <w:abstractNum w:abstractNumId="51">
    <w:nsid w:val="14330624"/>
    <w:multiLevelType w:val="hybridMultilevel"/>
    <w:lvl w:ilvl="0">
      <w:lvlJc w:val="left"/>
      <w:lvlText w:val="(%1)"/>
      <w:numFmt w:val="lowerLetter"/>
      <w:start w:val="10"/>
    </w:lvl>
  </w:abstractNum>
  <w:abstractNum w:abstractNumId="52">
    <w:nsid w:val="7FFFCA11"/>
    <w:multiLevelType w:val="hybridMultilevel"/>
    <w:lvl w:ilvl="0">
      <w:lvlJc w:val="left"/>
      <w:lvlText w:val="(%1)"/>
      <w:numFmt w:val="lowerLetter"/>
      <w:start w:val="15"/>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lowerLetter"/>
      <w:start w:val="3"/>
    </w:lvl>
  </w:abstractNum>
  <w:abstractNum w:abstractNumId="55">
    <w:nsid w:val="100F59DC"/>
    <w:multiLevelType w:val="hybridMultilevel"/>
    <w:lvl w:ilvl="0">
      <w:lvlJc w:val="left"/>
      <w:lvlText w:val="(%1)"/>
      <w:numFmt w:val="lowerLetter"/>
      <w:start w:val="1"/>
    </w:lvl>
  </w:abstractNum>
  <w:abstractNum w:abstractNumId="56">
    <w:nsid w:val="7FB7E0AA"/>
    <w:multiLevelType w:val="hybridMultilevel"/>
    <w:lvl w:ilvl="0">
      <w:lvlJc w:val="left"/>
      <w:lvlText w:val="(%1)"/>
      <w:numFmt w:val="lowerLetter"/>
      <w:start w:val="3"/>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1"/>
    </w:lvl>
  </w:abstractNum>
  <w:abstractNum w:abstractNumId="59">
    <w:nsid w:val="94211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0">
    <w:nsid w:val="885E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1">
    <w:nsid w:val="76272110"/>
    <w:multiLevelType w:val="hybridMultilevel"/>
    <w:lvl w:ilvl="0">
      <w:lvlJc w:val="left"/>
      <w:lvlText w:val="(%1)"/>
      <w:numFmt w:val="lowerLetter"/>
      <w:start w:val="1"/>
    </w:lvl>
    <w:lvl w:ilvl="1">
      <w:lvlJc w:val="left"/>
      <w:lvlText w:val="(%2)"/>
      <w:numFmt w:val="lowerRoman"/>
      <w:start w:val="1"/>
    </w:lvl>
  </w:abstractNum>
  <w:abstractNum w:abstractNumId="62">
    <w:nsid w:val="4C04A8AF"/>
    <w:multiLevelType w:val="hybridMultilevel"/>
    <w:lvl w:ilvl="0">
      <w:lvlJc w:val="left"/>
      <w:lvlText w:val="(%1)"/>
      <w:numFmt w:val="lowerLetter"/>
      <w:start w:val="1"/>
    </w:lvl>
  </w:abstractNum>
  <w:abstractNum w:abstractNumId="63">
    <w:nsid w:val="1716703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4">
    <w:nsid w:val="14E17E33"/>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65">
    <w:nsid w:val="3222E7CD"/>
    <w:multiLevelType w:val="hybridMultilevel"/>
    <w:lvl w:ilvl="0">
      <w:lvlJc w:val="left"/>
      <w:lvlText w:val="(%1)"/>
      <w:numFmt w:val="lowerLetter"/>
      <w:start w:val="6"/>
    </w:lvl>
    <w:lvl w:ilvl="1">
      <w:lvlJc w:val="left"/>
      <w:lvlText w:val="(%2)"/>
      <w:numFmt w:val="lowerRoman"/>
      <w:start w:val="1"/>
    </w:lvl>
  </w:abstractNum>
  <w:abstractNum w:abstractNumId="66">
    <w:nsid w:val="74DE0EE3"/>
    <w:multiLevelType w:val="hybridMultilevel"/>
    <w:lvl w:ilvl="0">
      <w:lvlJc w:val="left"/>
      <w:lvlText w:val="%1"/>
      <w:numFmt w:val="lowerLetter"/>
      <w:start w:val="1"/>
    </w:lvl>
    <w:lvl w:ilvl="1">
      <w:lvlJc w:val="left"/>
      <w:lvlText w:val="(%2)"/>
      <w:numFmt w:val="lowerLetter"/>
      <w:start w:val="7"/>
    </w:lvl>
  </w:abstractNum>
  <w:abstractNum w:abstractNumId="67">
    <w:nsid w:val="68EBC550"/>
    <w:multiLevelType w:val="hybridMultilevel"/>
    <w:lvl w:ilvl="0">
      <w:lvlJc w:val="left"/>
      <w:lvlText w:val="(%1)"/>
      <w:numFmt w:val="lowerLetter"/>
      <w:start w:val="22"/>
    </w:lvl>
    <w:lvl w:ilvl="1">
      <w:lvlJc w:val="left"/>
      <w:lvlText w:val="(%2)"/>
      <w:numFmt w:val="lowerLetter"/>
      <w:start w:val="8"/>
    </w:lvl>
  </w:abstractNum>
  <w:abstractNum w:abstractNumId="68">
    <w:nsid w:val="2DF6D648"/>
    <w:multiLevelType w:val="hybridMultilevel"/>
    <w:lvl w:ilvl="0">
      <w:lvlJc w:val="left"/>
      <w:lvlText w:val="(%1)"/>
      <w:numFmt w:val="lowerLetter"/>
      <w:start w:val="10"/>
    </w:lvl>
  </w:abstractNum>
  <w:abstractNum w:abstractNumId="69">
    <w:nsid w:val="46B7D447"/>
    <w:multiLevelType w:val="hybridMultilevel"/>
    <w:lvl w:ilvl="0">
      <w:lvlJc w:val="left"/>
      <w:lvlText w:val="%1"/>
      <w:numFmt w:val="lowerRoman"/>
      <w:start w:val="1"/>
    </w:lvl>
    <w:lvl w:ilvl="1">
      <w:lvlJc w:val="left"/>
      <w:lvlText w:val="(%2)"/>
      <w:numFmt w:val="lowerLetter"/>
      <w:start w:val="15"/>
    </w:lvl>
  </w:abstractNum>
  <w:abstractNum w:abstractNumId="70">
    <w:nsid w:val="4A2AC315"/>
    <w:multiLevelType w:val="hybridMultilevel"/>
    <w:lvl w:ilvl="0">
      <w:lvlJc w:val="left"/>
      <w:lvlText w:val="(%1)"/>
      <w:numFmt w:val="lowerRoman"/>
      <w:start w:val="2"/>
    </w:lvl>
    <w:lvl w:ilvl="1">
      <w:lvlJc w:val="left"/>
      <w:lvlText w:val="(%2)"/>
      <w:numFmt w:val="lowerLetter"/>
      <w:start w:val="16"/>
    </w:lvl>
  </w:abstractNum>
  <w:abstractNum w:abstractNumId="71">
    <w:nsid w:val="39EE015C"/>
    <w:multiLevelType w:val="hybridMultilevel"/>
    <w:lvl w:ilvl="0">
      <w:lvlJc w:val="left"/>
      <w:lvlText w:val="(%1)"/>
      <w:numFmt w:val="lowerRoman"/>
      <w:start w:val="3"/>
    </w:lvl>
    <w:lvl w:ilvl="1">
      <w:lvlJc w:val="left"/>
      <w:lvlText w:val="(%2)"/>
      <w:numFmt w:val="lowerLetter"/>
      <w:start w:val="17"/>
    </w:lvl>
  </w:abstractNum>
  <w:abstractNum w:abstractNumId="72">
    <w:nsid w:val="57FC4FBB"/>
    <w:multiLevelType w:val="hybridMultilevel"/>
    <w:lvl w:ilvl="0">
      <w:lvlJc w:val="left"/>
      <w:lvlText w:val="(%1)"/>
      <w:numFmt w:val="lowerLetter"/>
      <w:start w:val="18"/>
    </w:lvl>
  </w:abstractNum>
  <w:abstractNum w:abstractNumId="73">
    <w:nsid w:val="CC1016F"/>
    <w:multiLevelType w:val="hybridMultilevel"/>
    <w:lvl w:ilvl="0">
      <w:lvlJc w:val="left"/>
      <w:lvlText w:val="(%1)"/>
      <w:numFmt w:val="lowerLetter"/>
      <w:start w:val="23"/>
    </w:lvl>
  </w:abstractNum>
  <w:abstractNum w:abstractNumId="74">
    <w:nsid w:val="43F18422"/>
    <w:multiLevelType w:val="hybridMultilevel"/>
    <w:lvl w:ilvl="0">
      <w:lvlJc w:val="left"/>
      <w:lvlText w:val="(%1)"/>
      <w:numFmt w:val="lowerLetter"/>
      <w:start w:val="27"/>
    </w:lvl>
  </w:abstractNum>
  <w:abstractNum w:abstractNumId="75">
    <w:nsid w:val="60EF0119"/>
    <w:multiLevelType w:val="hybridMultilevel"/>
    <w:lvl w:ilvl="0">
      <w:lvlJc w:val="left"/>
      <w:lvlText w:val="(%1)"/>
      <w:numFmt w:val="lowerLetter"/>
      <w:start w:val="29"/>
    </w:lvl>
  </w:abstractNum>
  <w:abstractNum w:abstractNumId="76">
    <w:nsid w:val="26F324BA"/>
    <w:multiLevelType w:val="hybridMultilevel"/>
    <w:lvl w:ilvl="0">
      <w:lvlJc w:val="left"/>
      <w:lvlText w:val="(%1)"/>
      <w:numFmt w:val="lowerLetter"/>
      <w:start w:val="1"/>
    </w:lvl>
  </w:abstractNum>
  <w:abstractNum w:abstractNumId="77">
    <w:nsid w:val="7F01579B"/>
    <w:multiLevelType w:val="hybridMultilevel"/>
    <w:lvl w:ilvl="0">
      <w:lvlJc w:val="left"/>
      <w:lvlText w:val="(%1)"/>
      <w:numFmt w:val="lowerLetter"/>
      <w:start w:val="3"/>
    </w:lvl>
    <w:lvl w:ilvl="1">
      <w:lvlJc w:val="left"/>
      <w:lvlText w:val="(%2)"/>
      <w:numFmt w:val="lowerLetter"/>
      <w:start w:val="9"/>
    </w:lvl>
  </w:abstractNum>
  <w:abstractNum w:abstractNumId="78">
    <w:nsid w:val="49DA307D"/>
    <w:multiLevelType w:val="hybridMultilevel"/>
    <w:lvl w:ilvl="0">
      <w:lvlJc w:val="left"/>
      <w:lvlText w:val="%1"/>
      <w:numFmt w:val="lowerLetter"/>
      <w:start w:val="1"/>
    </w:lvl>
    <w:lvl w:ilvl="1">
      <w:lvlJc w:val="left"/>
      <w:lvlText w:val="(%2)"/>
      <w:numFmt w:val="lowerLetter"/>
      <w:start w:val="35"/>
    </w:lvl>
  </w:abstractNum>
  <w:abstractNum w:abstractNumId="79">
    <w:nsid w:val="7055A5F5"/>
    <w:multiLevelType w:val="hybridMultilevel"/>
    <w:lvl w:ilvl="0">
      <w:lvlJc w:val="left"/>
      <w:lvlText w:val="(%1)"/>
      <w:numFmt w:val="lowerLetter"/>
      <w:start w:val="7"/>
    </w:lvl>
    <w:lvl w:ilvl="1">
      <w:lvlJc w:val="left"/>
      <w:lvlText w:val="%2"/>
      <w:numFmt w:val="lowerLetter"/>
      <w:start w:val="1"/>
    </w:lvl>
  </w:abstractNum>
  <w:abstractNum w:abstractNumId="80">
    <w:nsid w:val="5FB8370B"/>
    <w:multiLevelType w:val="hybridMultilevel"/>
    <w:lvl w:ilvl="0">
      <w:lvlJc w:val="left"/>
      <w:lvlText w:val="(%1)"/>
      <w:numFmt w:val="lowerLetter"/>
      <w:start w:val="12"/>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3"/>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lowerLetter"/>
      <w:start w:val="3"/>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lowerLetter"/>
      <w:start w:val="2"/>
    </w:lvl>
  </w:abstractNum>
  <w:abstractNum w:abstractNumId="87">
    <w:nsid w:val="6A5F7029"/>
    <w:multiLevelType w:val="hybridMultilevel"/>
    <w:lvl w:ilvl="0">
      <w:lvlJc w:val="left"/>
      <w:lvlText w:val="(%1)"/>
      <w:numFmt w:val="lowerLetter"/>
      <w:start w:val="1"/>
    </w:lvl>
    <w:lvl w:ilvl="1">
      <w:lvlJc w:val="left"/>
      <w:lvlText w:val="(%2)"/>
      <w:numFmt w:val="lowerLetter"/>
      <w:start w:val="2"/>
    </w:lvl>
  </w:abstractNum>
  <w:abstractNum w:abstractNumId="88">
    <w:nsid w:val="7D5E18F8"/>
    <w:multiLevelType w:val="hybridMultilevel"/>
    <w:lvl w:ilvl="0">
      <w:lvlJc w:val="left"/>
      <w:lvlText w:val="(%1)"/>
      <w:numFmt w:val="lowerLetter"/>
      <w:start w:val="3"/>
    </w:lvl>
  </w:abstractNum>
  <w:abstractNum w:abstractNumId="89">
    <w:nsid w:val="5F3534A4"/>
    <w:multiLevelType w:val="hybridMultilevel"/>
    <w:lvl w:ilvl="0">
      <w:lvlJc w:val="left"/>
      <w:lvlText w:val="(%1)"/>
      <w:numFmt w:val="lowerLetter"/>
      <w:start w:val="8"/>
    </w:lvl>
  </w:abstractNum>
  <w:abstractNum w:abstractNumId="90">
    <w:nsid w:val="73A1821B"/>
    <w:multiLevelType w:val="hybridMultilevel"/>
    <w:lvl w:ilvl="0">
      <w:lvlJc w:val="left"/>
      <w:lvlText w:val="%1"/>
      <w:numFmt w:val="lowerLetter"/>
      <w:start w:val="1"/>
    </w:lvl>
    <w:lvl w:ilvl="1">
      <w:lvlJc w:val="left"/>
      <w:lvlText w:val="(%2)"/>
      <w:numFmt w:val="lowerLetter"/>
      <w:start w:val="11"/>
    </w:lvl>
  </w:abstractNum>
  <w:abstractNum w:abstractNumId="91">
    <w:nsid w:val="7DE67713"/>
    <w:multiLevelType w:val="hybridMultilevel"/>
    <w:lvl w:ilvl="0">
      <w:lvlJc w:val="left"/>
      <w:lvlText w:val="(%1)"/>
      <w:numFmt w:val="lowerLetter"/>
      <w:start w:val="9"/>
    </w:lvl>
    <w:lvl w:ilvl="1">
      <w:lvlJc w:val="left"/>
      <w:lvlText w:val="%2"/>
      <w:numFmt w:val="lowerLetter"/>
      <w:start w:val="1"/>
    </w:lvl>
  </w:abstractNum>
  <w:abstractNum w:abstractNumId="92">
    <w:nsid w:val="555C55B5"/>
    <w:multiLevelType w:val="hybridMultilevel"/>
    <w:lvl w:ilvl="0">
      <w:lvlJc w:val="left"/>
      <w:lvlText w:val="(%1)"/>
      <w:numFmt w:val="lowerLetter"/>
      <w:start w:val="13"/>
    </w:lvl>
  </w:abstractNum>
  <w:abstractNum w:abstractNumId="93">
    <w:nsid w:val="3FA62ACA"/>
    <w:multiLevelType w:val="hybridMultilevel"/>
    <w:lvl w:ilvl="0">
      <w:lvlJc w:val="left"/>
      <w:lvlText w:val="(%1)"/>
      <w:numFmt w:val="lowerLetter"/>
      <w:start w:val="17"/>
    </w:lvl>
  </w:abstractNum>
  <w:abstractNum w:abstractNumId="94">
    <w:nsid w:val="14FCE74E"/>
    <w:multiLevelType w:val="hybridMultilevel"/>
    <w:lvl w:ilvl="0">
      <w:lvlJc w:val="left"/>
      <w:lvlText w:val="(%1)"/>
      <w:numFmt w:val="lowerLetter"/>
      <w:start w:val="21"/>
    </w:lvl>
  </w:abstractNum>
  <w:abstractNum w:abstractNumId="95">
    <w:nsid w:val="6A3DD3E8"/>
    <w:multiLevelType w:val="hybridMultilevel"/>
    <w:lvl w:ilvl="0">
      <w:lvlJc w:val="left"/>
      <w:lvlText w:val="(%1)"/>
      <w:numFmt w:val="lowerLetter"/>
      <w:start w:val="26"/>
    </w:lvl>
  </w:abstractNum>
  <w:abstractNum w:abstractNumId="96">
    <w:nsid w:val="71C91298"/>
    <w:multiLevelType w:val="hybridMultilevel"/>
    <w:lvl w:ilvl="0">
      <w:lvlJc w:val="left"/>
      <w:lvlText w:val="(%1)"/>
      <w:numFmt w:val="lowerLetter"/>
      <w:start w:val="27"/>
    </w:lvl>
  </w:abstractNum>
  <w:abstractNum w:abstractNumId="97">
    <w:nsid w:val="9DAF632"/>
    <w:multiLevelType w:val="hybridMultilevel"/>
    <w:lvl w:ilvl="0">
      <w:lvlJc w:val="left"/>
      <w:lvlText w:val="(%1)"/>
      <w:numFmt w:val="lowerLetter"/>
      <w:start w:val="31"/>
    </w:lvl>
  </w:abstractNum>
  <w:abstractNum w:abstractNumId="98">
    <w:nsid w:val="53299938"/>
    <w:multiLevelType w:val="hybridMultilevel"/>
    <w:lvl w:ilvl="0">
      <w:lvlJc w:val="left"/>
      <w:lvlText w:val="(%1)"/>
      <w:numFmt w:val="lowerLetter"/>
      <w:start w:val="39"/>
    </w:lvl>
  </w:abstractNum>
  <w:abstractNum w:abstractNumId="99">
    <w:nsid w:val="1FBFE8E0"/>
    <w:multiLevelType w:val="hybridMultilevel"/>
    <w:lvl w:ilvl="0">
      <w:lvlJc w:val="left"/>
      <w:lvlText w:val="(%1)"/>
      <w:numFmt w:val="lowerLetter"/>
      <w:start w:val="48"/>
    </w:lvl>
  </w:abstractNum>
  <w:abstractNum w:abstractNumId="100">
    <w:nsid w:val="5092CA79"/>
    <w:multiLevelType w:val="hybridMultilevel"/>
    <w:lvl w:ilvl="0">
      <w:lvlJc w:val="left"/>
      <w:lvlText w:val="(%1)"/>
      <w:numFmt w:val="lowerLetter"/>
      <w:start w:val="1"/>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lowerLetter"/>
      <w:start w:val="10"/>
    </w:lvl>
    <w:lvl w:ilvl="1">
      <w:lvlJc w:val="left"/>
      <w:lvlText w:val="(%2)"/>
      <w:numFmt w:val="lowerRoman"/>
      <w:start w:val="1"/>
    </w:lvl>
    <w:lvl w:ilvl="2">
      <w:lvlJc w:val="left"/>
      <w:lvlText w:val="(%3)"/>
      <w:numFmt w:val="lowerLetter"/>
      <w:start w:val="9"/>
    </w:lvl>
  </w:abstractNum>
  <w:abstractNum w:abstractNumId="103">
    <w:nsid w:val="288F1A34"/>
    <w:multiLevelType w:val="hybridMultilevel"/>
    <w:lvl w:ilvl="0">
      <w:lvlJc w:val="left"/>
      <w:lvlText w:val="%1"/>
      <w:numFmt w:val="lowerLetter"/>
      <w:start w:val="1"/>
    </w:lvl>
    <w:lvl w:ilvl="1">
      <w:lvlJc w:val="left"/>
      <w:lvlText w:val="(%2)"/>
      <w:numFmt w:val="lowerLetter"/>
      <w:start w:val="35"/>
    </w:lvl>
  </w:abstractNum>
  <w:abstractNum w:abstractNumId="104">
    <w:nsid w:val="2A155DBC"/>
    <w:multiLevelType w:val="hybridMultilevel"/>
    <w:lvl w:ilvl="0">
      <w:lvlJc w:val="left"/>
      <w:lvlText w:val="(%1)"/>
      <w:numFmt w:val="lowerLetter"/>
      <w:start w:val="12"/>
    </w:lvl>
    <w:lvl w:ilvl="1">
      <w:lvlJc w:val="left"/>
      <w:lvlText w:val="%2"/>
      <w:numFmt w:val="lowerLetter"/>
      <w:start w:val="1"/>
    </w:lvl>
  </w:abstractNum>
  <w:abstractNum w:abstractNumId="105">
    <w:nsid w:val="1D9F6E5F"/>
    <w:multiLevelType w:val="hybridMultilevel"/>
    <w:lvl w:ilvl="0">
      <w:lvlJc w:val="left"/>
      <w:lvlText w:val="(%1)"/>
      <w:numFmt w:val="lowerLetter"/>
      <w:start w:val="1"/>
    </w:lvl>
    <w:lvl w:ilvl="1">
      <w:lvlJc w:val="left"/>
      <w:lvlText w:val="(%2)"/>
      <w:numFmt w:val="lowerRoman"/>
      <w:start w:val="1"/>
    </w:lvl>
  </w:abstractNum>
  <w:abstractNum w:abstractNumId="106">
    <w:nsid w:val="97E1B4E"/>
    <w:multiLevelType w:val="hybridMultilevel"/>
    <w:lvl w:ilvl="0">
      <w:lvlJc w:val="left"/>
      <w:lvlText w:val="(%1)"/>
      <w:numFmt w:val="lowerLetter"/>
      <w:start w:val="7"/>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lowerLetter"/>
      <w:start w:val="2"/>
    </w:lvl>
  </w:abstractNum>
  <w:abstractNum w:abstractNumId="109">
    <w:nsid w:val="53584BCB"/>
    <w:multiLevelType w:val="hybridMultilevel"/>
    <w:lvl w:ilvl="0">
      <w:lvlJc w:val="left"/>
      <w:lvlText w:val="(%1)"/>
      <w:numFmt w:val="lowerLetter"/>
      <w:start w:val="3"/>
    </w:lvl>
  </w:abstractNum>
  <w:abstractNum w:abstractNumId="110">
    <w:nsid w:val="415E286C"/>
    <w:multiLevelType w:val="hybridMultilevel"/>
    <w:lvl w:ilvl="0">
      <w:lvlJc w:val="left"/>
      <w:lvlText w:val="(%1)"/>
      <w:numFmt w:val="lowerLetter"/>
      <w:start w:val="1"/>
    </w:lvl>
  </w:abstractNum>
  <w:abstractNum w:abstractNumId="111">
    <w:nsid w:val="7C58FD0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2026-04-08T07:05:03Z</dcterms:created>
  <dcterms:modified xsi:type="dcterms:W3CDTF">2026-04-08T07:05:03Z</dcterms:modified>
</cp:coreProperties>
</file>