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47"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Form 8-K/A</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No.1)</w:t>
      </w: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7, 2026</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AquaBounty Technologies, Inc.</w:t>
      </w:r>
    </w:p>
    <w:p>
      <w:pPr>
        <w:spacing w:after="0" w:line="54" w:lineRule="exact"/>
        <w:rPr>
          <w:sz w:val="24"/>
          <w:szCs w:val="24"/>
          <w:color w:val="auto"/>
        </w:rPr>
      </w:pPr>
    </w:p>
    <w:tbl>
      <w:tblPr>
        <w:tblLayout w:type="fixed"/>
        <w:tblInd w:w="60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7"/>
        </w:trPr>
        <w:tc>
          <w:tcPr>
            <w:tcW w:w="25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2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001-36426</w:t>
            </w:r>
          </w:p>
        </w:tc>
        <w:tc>
          <w:tcPr>
            <w:tcW w:w="2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04-3156167</w:t>
            </w:r>
          </w:p>
        </w:tc>
      </w:tr>
      <w:tr>
        <w:trPr>
          <w:trHeight w:val="203"/>
        </w:trPr>
        <w:tc>
          <w:tcPr>
            <w:tcW w:w="2540" w:type="dxa"/>
            <w:vAlign w:val="bottom"/>
          </w:tcPr>
          <w:p>
            <w:pPr>
              <w:jc w:val="center"/>
              <w:ind w:right="550"/>
              <w:spacing w:after="0" w:line="202"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12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120" w:type="dxa"/>
            <w:vAlign w:val="bottom"/>
            <w:gridSpan w:val="2"/>
          </w:tcPr>
          <w:p>
            <w:pPr>
              <w:jc w:val="center"/>
              <w:ind w:left="670"/>
              <w:spacing w:after="0" w:line="202"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 Number)</w:t>
            </w:r>
          </w:p>
        </w:tc>
        <w:tc>
          <w:tcPr>
            <w:tcW w:w="17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8"/>
              </w:rPr>
              <w:t>Identification‎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20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233 Ayer Road, Suite 4, Harvard, Massachusetts</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01451</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(Zip Code)</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978-648-6000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00" w:hanging="457"/>
        <w:spacing w:after="0"/>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 w:lineRule="exact"/>
        <w:rPr>
          <w:rFonts w:ascii="Wingdings" w:cs="Wingdings" w:eastAsia="Wingdings" w:hAnsi="Wingdings"/>
          <w:sz w:val="18"/>
          <w:szCs w:val="18"/>
          <w:b w:val="1"/>
          <w:bCs w:val="1"/>
          <w:color w:val="auto"/>
        </w:rPr>
      </w:pPr>
    </w:p>
    <w:p>
      <w:pPr>
        <w:ind w:left="700" w:hanging="457"/>
        <w:spacing w:after="0" w:line="219" w:lineRule="auto"/>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700" w:hanging="457"/>
        <w:spacing w:after="0" w:line="219" w:lineRule="auto"/>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700" w:hanging="457"/>
        <w:spacing w:after="0"/>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6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229"/>
        </w:trPr>
        <w:tc>
          <w:tcPr>
            <w:tcW w:w="45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r>
      <w:tr>
        <w:trPr>
          <w:trHeight w:val="183"/>
        </w:trPr>
        <w:tc>
          <w:tcPr>
            <w:tcW w:w="4560" w:type="dxa"/>
            <w:vAlign w:val="bottom"/>
            <w:tcBorders>
              <w:bottom w:val="single" w:sz="8" w:color="auto"/>
            </w:tcBorders>
          </w:tcPr>
          <w:p>
            <w:pPr>
              <w:jc w:val="center"/>
              <w:ind w:right="210"/>
              <w:spacing w:after="0" w:line="18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tcBorders>
              <w:bottom w:val="single" w:sz="8" w:color="auto"/>
            </w:tcBorders>
          </w:tcPr>
          <w:p>
            <w:pPr>
              <w:jc w:val="center"/>
              <w:ind w:right="230"/>
              <w:spacing w:after="0" w:line="182" w:lineRule="exact"/>
              <w:rPr>
                <w:sz w:val="20"/>
                <w:szCs w:val="20"/>
                <w:color w:val="auto"/>
              </w:rPr>
            </w:pPr>
            <w:r>
              <w:rPr>
                <w:rFonts w:ascii="Times New Roman" w:cs="Times New Roman" w:eastAsia="Times New Roman" w:hAnsi="Times New Roman"/>
                <w:sz w:val="18"/>
                <w:szCs w:val="18"/>
                <w:color w:val="auto"/>
                <w:w w:val="98"/>
              </w:rPr>
              <w:t>Trading Symbol(s)</w:t>
            </w:r>
          </w:p>
        </w:tc>
        <w:tc>
          <w:tcPr>
            <w:tcW w:w="422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184"/>
        </w:trPr>
        <w:tc>
          <w:tcPr>
            <w:tcW w:w="4560" w:type="dxa"/>
            <w:vAlign w:val="bottom"/>
          </w:tcPr>
          <w:p>
            <w:pPr>
              <w:jc w:val="center"/>
              <w:ind w:right="2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460" w:type="dxa"/>
            <w:vAlign w:val="bottom"/>
          </w:tcPr>
          <w:p>
            <w:pPr>
              <w:jc w:val="center"/>
              <w:ind w:right="270"/>
              <w:spacing w:after="0" w:line="184" w:lineRule="exact"/>
              <w:rPr>
                <w:sz w:val="20"/>
                <w:szCs w:val="20"/>
                <w:color w:val="auto"/>
              </w:rPr>
            </w:pPr>
            <w:r>
              <w:rPr>
                <w:rFonts w:ascii="Times New Roman" w:cs="Times New Roman" w:eastAsia="Times New Roman" w:hAnsi="Times New Roman"/>
                <w:sz w:val="18"/>
                <w:szCs w:val="18"/>
                <w:b w:val="1"/>
                <w:bCs w:val="1"/>
                <w:color w:val="auto"/>
                <w:w w:val="97"/>
              </w:rPr>
              <w:t>AQB</w:t>
            </w:r>
          </w:p>
        </w:tc>
        <w:tc>
          <w:tcPr>
            <w:tcW w:w="4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266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right="520"/>
        <w:spacing w:after="0" w:line="23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9" w:lineRule="exact"/>
        <w:rPr>
          <w:sz w:val="24"/>
          <w:szCs w:val="24"/>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Wingdings" w:cs="Wingdings" w:eastAsia="Wingdings" w:hAnsi="Wingdings"/>
          <w:sz w:val="17"/>
          <w:szCs w:val="17"/>
          <w:b w:val="1"/>
          <w:bCs w:val="1"/>
          <w:color w:val="auto"/>
        </w:rPr>
        <w:t>o</w:t>
      </w:r>
    </w:p>
    <w:p>
      <w:pPr>
        <w:spacing w:after="0" w:line="171"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8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This Amendment No. 1 to the Current Report on Form 8-K filed by AquaBounty Technologies, Inc. (the “Company”) with the Securities and Exchange Commission on April 8, 2026 (the “Original Report”) is being filed to provide additional disclosure under Item 8.01 regarding the Company’s compliance with Nasdaq Listing Rule 5550(b)(1) as a result of the Offering described in the Original Report. Except as expressly set forth herein, this Amendment No. 1 does not amend, update or restate any other information in the Original Report. Terms capitalized but not otherwise defined herein shall have the meanings ascribed to them in the Original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0"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As a result of the Offering, the Company believes that it is now in compliance with Nasdaq Listing Rule 5550 (Continued Listing Standards for Primary Equity Securities) because the Company meets the Equity Standard set forth in Nasdaq Listing Rule 5550(b)(1), which requires stockholders’ equity of at least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90"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3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AquaBounty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8890</wp:posOffset>
            </wp:positionV>
            <wp:extent cx="1834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ind w:left="8360"/>
        <w:spacing w:after="0"/>
        <w:rPr>
          <w:sz w:val="20"/>
          <w:szCs w:val="20"/>
          <w:color w:val="auto"/>
        </w:rPr>
      </w:pPr>
      <w:r>
        <w:rPr>
          <w:rFonts w:ascii="Times New Roman" w:cs="Times New Roman" w:eastAsia="Times New Roman" w:hAnsi="Times New Roman"/>
          <w:sz w:val="18"/>
          <w:szCs w:val="18"/>
          <w:color w:val="auto"/>
        </w:rPr>
        <w:t>(Registrant)</w:t>
      </w:r>
    </w:p>
    <w:p>
      <w:pPr>
        <w:spacing w:after="0" w:line="151" w:lineRule="exact"/>
        <w:rPr>
          <w:sz w:val="20"/>
          <w:szCs w:val="20"/>
          <w:color w:val="auto"/>
        </w:rPr>
      </w:pPr>
    </w:p>
    <w:p>
      <w:pPr>
        <w:ind w:left="8360" w:right="1500" w:hanging="8342"/>
        <w:spacing w:after="0" w:line="252" w:lineRule="auto"/>
        <w:tabs>
          <w:tab w:leader="none" w:pos="8340" w:val="left"/>
        </w:tabs>
        <w:rPr>
          <w:sz w:val="20"/>
          <w:szCs w:val="20"/>
          <w:color w:val="auto"/>
        </w:rPr>
      </w:pPr>
      <w:r>
        <w:rPr>
          <w:rFonts w:ascii="Times New Roman" w:cs="Times New Roman" w:eastAsia="Times New Roman" w:hAnsi="Times New Roman"/>
          <w:sz w:val="18"/>
          <w:szCs w:val="18"/>
          <w:color w:val="auto"/>
        </w:rPr>
        <w:t>Date: April 8, 2026</w:t>
      </w:r>
      <w:r>
        <w:rPr>
          <w:sz w:val="20"/>
          <w:szCs w:val="20"/>
          <w:color w:val="auto"/>
        </w:rPr>
        <w:tab/>
      </w:r>
      <w:r>
        <w:rPr>
          <w:rFonts w:ascii="Times New Roman" w:cs="Times New Roman" w:eastAsia="Times New Roman" w:hAnsi="Times New Roman"/>
          <w:sz w:val="17"/>
          <w:szCs w:val="17"/>
          <w:color w:val="auto"/>
        </w:rPr>
        <w:t>/s/ David A. Frank David A.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-120015</wp:posOffset>
            </wp:positionV>
            <wp:extent cx="1834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ind w:left="8360"/>
        <w:spacing w:after="0" w:line="235" w:lineRule="auto"/>
        <w:rPr>
          <w:sz w:val="20"/>
          <w:szCs w:val="20"/>
          <w:color w:val="auto"/>
        </w:rPr>
      </w:pPr>
      <w:r>
        <w:rPr>
          <w:rFonts w:ascii="Times New Roman" w:cs="Times New Roman" w:eastAsia="Times New Roman" w:hAnsi="Times New Roman"/>
          <w:sz w:val="18"/>
          <w:szCs w:val="18"/>
          <w:color w:val="auto"/>
        </w:rPr>
        <w:t>Interim Chief Executive Officer, Chief</w:t>
      </w:r>
    </w:p>
    <w:p>
      <w:pPr>
        <w:spacing w:after="0" w:line="1"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Financial Officer and Treasurer</w:t>
      </w:r>
    </w:p>
    <w:sectPr>
      <w:pgSz w:w="11900" w:h="16838" w:orient="portrait"/>
      <w:cols w:equalWidth="0" w:num="1">
        <w:col w:w="11200"/>
      </w:cols>
      <w:pgMar w:left="320" w:top="59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2026-04-08T16:19:32Z</dcterms:created>
  <dcterms:modified xsi:type="dcterms:W3CDTF">2026-04-08T16:19:32Z</dcterms:modified>
</cp:coreProperties>
</file>